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F6756" w14:textId="23279D61" w:rsidR="000B6DB1" w:rsidRPr="00EE46EC" w:rsidRDefault="006053E5" w:rsidP="00B8215B">
      <w:pPr>
        <w:pStyle w:val="Title"/>
      </w:pPr>
      <w:r>
        <w:t xml:space="preserve">SECTION </w:t>
      </w:r>
      <w:r w:rsidR="001B2FC3">
        <w:t>1</w:t>
      </w:r>
      <w:r w:rsidR="008469AC">
        <w:t>1325</w:t>
      </w:r>
    </w:p>
    <w:p w14:paraId="3B34DC09" w14:textId="0910ACA9" w:rsidR="008469AC" w:rsidRDefault="008469AC" w:rsidP="00CB606D">
      <w:pPr>
        <w:pStyle w:val="Title"/>
      </w:pPr>
      <w:r>
        <w:t>progressive cavity pumps</w:t>
      </w:r>
    </w:p>
    <w:p w14:paraId="5CE6BF10" w14:textId="77777777" w:rsidR="008469AC" w:rsidRPr="00D04E50" w:rsidRDefault="008469AC" w:rsidP="008469AC">
      <w:pPr>
        <w:pStyle w:val="Heading1"/>
      </w:pPr>
      <w:r w:rsidRPr="00D04E50">
        <w:t>GENERAL</w:t>
      </w:r>
    </w:p>
    <w:p w14:paraId="1B3CAB92" w14:textId="77777777" w:rsidR="008469AC" w:rsidRPr="00D04E50" w:rsidRDefault="008469AC" w:rsidP="008469AC">
      <w:pPr>
        <w:pStyle w:val="Heading2"/>
      </w:pPr>
      <w:r w:rsidRPr="00D04E50">
        <w:t>DESCRIPTION</w:t>
      </w:r>
    </w:p>
    <w:p w14:paraId="018EC2F4" w14:textId="57A0E279" w:rsidR="008469AC" w:rsidRPr="00D04E50" w:rsidRDefault="00E75584" w:rsidP="008469AC">
      <w:pPr>
        <w:pStyle w:val="Heading3"/>
      </w:pPr>
      <w:r w:rsidRPr="00E75584">
        <w:rPr>
          <w:b/>
          <w:bCs/>
        </w:rPr>
        <w:t>Scope:</w:t>
      </w:r>
      <w:r>
        <w:t xml:space="preserve"> </w:t>
      </w:r>
      <w:r w:rsidR="008469AC" w:rsidRPr="00D04E50">
        <w:t>This section specifies positive displacement progressing cavity pumps, complete with electric motors, and all specified appurtenances, as shown on the plans and specified herein.</w:t>
      </w:r>
    </w:p>
    <w:p w14:paraId="5CD9C5FB" w14:textId="573D5B33" w:rsidR="008469AC" w:rsidRPr="00E75584" w:rsidRDefault="00E75584" w:rsidP="008469AC">
      <w:pPr>
        <w:pStyle w:val="Heading3"/>
        <w:rPr>
          <w:spacing w:val="-6"/>
        </w:rPr>
      </w:pPr>
      <w:r w:rsidRPr="00E75584">
        <w:rPr>
          <w:b/>
          <w:bCs/>
          <w:spacing w:val="-6"/>
        </w:rPr>
        <w:t>Type:</w:t>
      </w:r>
      <w:r w:rsidRPr="00E75584">
        <w:rPr>
          <w:spacing w:val="-6"/>
        </w:rPr>
        <w:t xml:space="preserve"> </w:t>
      </w:r>
      <w:r w:rsidR="008469AC" w:rsidRPr="00E75584">
        <w:rPr>
          <w:spacing w:val="-6"/>
        </w:rPr>
        <w:t xml:space="preserve">The pumping units shall be of the self-priming, positive displacement, progressing cavity type specifically designed for pumping the specified </w:t>
      </w:r>
      <w:proofErr w:type="gramStart"/>
      <w:r w:rsidR="008469AC" w:rsidRPr="00E75584">
        <w:rPr>
          <w:spacing w:val="-6"/>
        </w:rPr>
        <w:t>waste water</w:t>
      </w:r>
      <w:proofErr w:type="gramEnd"/>
      <w:r w:rsidR="008469AC" w:rsidRPr="00E75584">
        <w:rPr>
          <w:spacing w:val="-6"/>
        </w:rPr>
        <w:t xml:space="preserve"> sludge.</w:t>
      </w:r>
    </w:p>
    <w:p w14:paraId="5289CCC5" w14:textId="401B44AD" w:rsidR="008469AC" w:rsidRDefault="008469AC" w:rsidP="008469AC">
      <w:pPr>
        <w:pStyle w:val="Heading2"/>
      </w:pPr>
      <w:r>
        <w:t>references</w:t>
      </w:r>
    </w:p>
    <w:p w14:paraId="746E9D4D" w14:textId="3BD76616" w:rsidR="008469AC" w:rsidRPr="00E75584" w:rsidRDefault="008469AC" w:rsidP="00E75584">
      <w:pPr>
        <w:pStyle w:val="Heading3"/>
        <w:rPr>
          <w:spacing w:val="-6"/>
        </w:rPr>
      </w:pPr>
      <w:r w:rsidRPr="00E75584">
        <w:rPr>
          <w:spacing w:val="-6"/>
        </w:rPr>
        <w:t>This section contains references to the following documents.</w:t>
      </w:r>
      <w:r w:rsidR="00E75584" w:rsidRPr="00E75584">
        <w:rPr>
          <w:spacing w:val="-6"/>
        </w:rPr>
        <w:t xml:space="preserve"> </w:t>
      </w:r>
      <w:r w:rsidRPr="00E75584">
        <w:rPr>
          <w:spacing w:val="-6"/>
        </w:rPr>
        <w:t>They are part of this section as specified and modified.</w:t>
      </w:r>
      <w:r w:rsidR="00E75584" w:rsidRPr="00E75584">
        <w:rPr>
          <w:spacing w:val="-6"/>
        </w:rPr>
        <w:t xml:space="preserve"> </w:t>
      </w:r>
      <w:r w:rsidRPr="00E75584">
        <w:rPr>
          <w:spacing w:val="-6"/>
        </w:rPr>
        <w:t>In case of conflict between the requirements of the section and those of the listed documents, the requirements of this section shall prevail.</w:t>
      </w:r>
    </w:p>
    <w:p w14:paraId="52958756" w14:textId="77777777" w:rsidR="008469AC" w:rsidRPr="00D04E50" w:rsidRDefault="008469AC" w:rsidP="008469AC">
      <w:pPr>
        <w:widowControl w:val="0"/>
        <w:tabs>
          <w:tab w:val="left" w:pos="-720"/>
        </w:tabs>
        <w:suppressAutoHyphens/>
        <w:overflowPunct w:val="0"/>
        <w:autoSpaceDE w:val="0"/>
        <w:autoSpaceDN w:val="0"/>
        <w:adjustRightInd w:val="0"/>
        <w:textAlignment w:val="baseline"/>
      </w:pPr>
    </w:p>
    <w:tbl>
      <w:tblPr>
        <w:tblStyle w:val="TableGrid"/>
        <w:tblW w:w="5000" w:type="pct"/>
        <w:jc w:val="center"/>
        <w:tblLook w:val="04A0" w:firstRow="1" w:lastRow="0" w:firstColumn="1" w:lastColumn="0" w:noHBand="0" w:noVBand="1"/>
      </w:tblPr>
      <w:tblGrid>
        <w:gridCol w:w="2155"/>
        <w:gridCol w:w="7195"/>
      </w:tblGrid>
      <w:tr w:rsidR="00E75584" w:rsidRPr="00451488" w14:paraId="0CC81320" w14:textId="77777777" w:rsidTr="00BF3DD7">
        <w:trPr>
          <w:jc w:val="center"/>
        </w:trPr>
        <w:tc>
          <w:tcPr>
            <w:tcW w:w="2155" w:type="dxa"/>
            <w:vAlign w:val="center"/>
          </w:tcPr>
          <w:p w14:paraId="2A16893B" w14:textId="3CFC5CA6" w:rsidR="00E75584" w:rsidRPr="00451488" w:rsidRDefault="00E75584" w:rsidP="00BF3DD7">
            <w:pPr>
              <w:jc w:val="center"/>
              <w:rPr>
                <w:b/>
                <w:bCs/>
                <w:sz w:val="20"/>
              </w:rPr>
            </w:pPr>
            <w:r w:rsidRPr="00451488">
              <w:rPr>
                <w:b/>
                <w:bCs/>
                <w:sz w:val="20"/>
              </w:rPr>
              <w:t>Reference</w:t>
            </w:r>
          </w:p>
        </w:tc>
        <w:tc>
          <w:tcPr>
            <w:tcW w:w="7195" w:type="dxa"/>
            <w:vAlign w:val="center"/>
          </w:tcPr>
          <w:p w14:paraId="3D9B603F" w14:textId="0D902265" w:rsidR="00E75584" w:rsidRPr="00451488" w:rsidRDefault="00E75584" w:rsidP="00BF3DD7">
            <w:pPr>
              <w:jc w:val="center"/>
              <w:rPr>
                <w:b/>
                <w:bCs/>
                <w:sz w:val="20"/>
              </w:rPr>
            </w:pPr>
            <w:r w:rsidRPr="00451488">
              <w:rPr>
                <w:b/>
                <w:bCs/>
                <w:sz w:val="20"/>
              </w:rPr>
              <w:t>Title</w:t>
            </w:r>
          </w:p>
        </w:tc>
      </w:tr>
      <w:tr w:rsidR="00E75584" w:rsidRPr="00451488" w14:paraId="57DEB183" w14:textId="77777777" w:rsidTr="00451488">
        <w:trPr>
          <w:jc w:val="center"/>
        </w:trPr>
        <w:tc>
          <w:tcPr>
            <w:tcW w:w="2155" w:type="dxa"/>
          </w:tcPr>
          <w:p w14:paraId="72927BFA" w14:textId="1FF3267A" w:rsidR="00E75584" w:rsidRPr="00451488" w:rsidRDefault="00E75584" w:rsidP="00451488">
            <w:pPr>
              <w:jc w:val="left"/>
              <w:rPr>
                <w:sz w:val="20"/>
              </w:rPr>
            </w:pPr>
            <w:r w:rsidRPr="00451488">
              <w:rPr>
                <w:sz w:val="20"/>
              </w:rPr>
              <w:t>AGMA 6010-E-88</w:t>
            </w:r>
          </w:p>
        </w:tc>
        <w:tc>
          <w:tcPr>
            <w:tcW w:w="7195" w:type="dxa"/>
          </w:tcPr>
          <w:p w14:paraId="78AB1F5A" w14:textId="42B5C32A" w:rsidR="00E75584" w:rsidRPr="00451488" w:rsidRDefault="00451488" w:rsidP="00451488">
            <w:pPr>
              <w:jc w:val="left"/>
              <w:rPr>
                <w:sz w:val="20"/>
              </w:rPr>
            </w:pPr>
            <w:r w:rsidRPr="00451488">
              <w:rPr>
                <w:sz w:val="20"/>
              </w:rPr>
              <w:t>Spur, Helical, Herringbone, and Bevel Enclosed Drive</w:t>
            </w:r>
          </w:p>
        </w:tc>
      </w:tr>
      <w:tr w:rsidR="00E75584" w:rsidRPr="00451488" w14:paraId="7B0EEE0C" w14:textId="77777777" w:rsidTr="00451488">
        <w:trPr>
          <w:jc w:val="center"/>
        </w:trPr>
        <w:tc>
          <w:tcPr>
            <w:tcW w:w="2155" w:type="dxa"/>
          </w:tcPr>
          <w:p w14:paraId="154CC523" w14:textId="7584C2D4" w:rsidR="00E75584" w:rsidRPr="00451488" w:rsidRDefault="00451488" w:rsidP="00451488">
            <w:pPr>
              <w:jc w:val="left"/>
              <w:rPr>
                <w:sz w:val="20"/>
              </w:rPr>
            </w:pPr>
            <w:r w:rsidRPr="00451488">
              <w:rPr>
                <w:sz w:val="20"/>
              </w:rPr>
              <w:t>AGMA 6019-E-89</w:t>
            </w:r>
          </w:p>
        </w:tc>
        <w:tc>
          <w:tcPr>
            <w:tcW w:w="7195" w:type="dxa"/>
          </w:tcPr>
          <w:p w14:paraId="3D337B53" w14:textId="1C4FD65D" w:rsidR="00E75584" w:rsidRPr="00451488" w:rsidRDefault="00451488" w:rsidP="00451488">
            <w:pPr>
              <w:jc w:val="left"/>
              <w:rPr>
                <w:sz w:val="20"/>
              </w:rPr>
            </w:pPr>
            <w:r w:rsidRPr="00451488">
              <w:rPr>
                <w:sz w:val="20"/>
              </w:rPr>
              <w:t>Gear Motors Using Spur, Helical, Herringbone, Straight Bevel, or Spiral Bevel Gears</w:t>
            </w:r>
          </w:p>
        </w:tc>
      </w:tr>
      <w:tr w:rsidR="00451488" w:rsidRPr="00451488" w14:paraId="741FAB26" w14:textId="77777777" w:rsidTr="00451488">
        <w:trPr>
          <w:jc w:val="center"/>
        </w:trPr>
        <w:tc>
          <w:tcPr>
            <w:tcW w:w="2155" w:type="dxa"/>
          </w:tcPr>
          <w:p w14:paraId="11AF525F" w14:textId="47F41318" w:rsidR="00451488" w:rsidRPr="00451488" w:rsidRDefault="00451488" w:rsidP="00451488">
            <w:pPr>
              <w:jc w:val="left"/>
              <w:rPr>
                <w:sz w:val="20"/>
              </w:rPr>
            </w:pPr>
            <w:r w:rsidRPr="00451488">
              <w:rPr>
                <w:sz w:val="20"/>
              </w:rPr>
              <w:t>AGMA 6023-A88</w:t>
            </w:r>
          </w:p>
        </w:tc>
        <w:tc>
          <w:tcPr>
            <w:tcW w:w="7195" w:type="dxa"/>
          </w:tcPr>
          <w:p w14:paraId="0DF7BD23" w14:textId="43637A0C" w:rsidR="00451488" w:rsidRPr="00451488" w:rsidRDefault="00451488" w:rsidP="00451488">
            <w:pPr>
              <w:jc w:val="left"/>
              <w:rPr>
                <w:sz w:val="20"/>
              </w:rPr>
            </w:pPr>
            <w:r w:rsidRPr="00451488">
              <w:rPr>
                <w:sz w:val="20"/>
              </w:rPr>
              <w:t>Design Manual for Enclosed Epicyclic Gear Drives</w:t>
            </w:r>
          </w:p>
        </w:tc>
      </w:tr>
    </w:tbl>
    <w:p w14:paraId="3B0DD95A" w14:textId="77777777" w:rsidR="008469AC" w:rsidRPr="00D04E50" w:rsidRDefault="008469AC" w:rsidP="008469AC">
      <w:pPr>
        <w:widowControl w:val="0"/>
        <w:tabs>
          <w:tab w:val="left" w:pos="-720"/>
        </w:tabs>
        <w:suppressAutoHyphens/>
        <w:overflowPunct w:val="0"/>
        <w:autoSpaceDE w:val="0"/>
        <w:autoSpaceDN w:val="0"/>
        <w:adjustRightInd w:val="0"/>
        <w:textAlignment w:val="baseline"/>
      </w:pPr>
    </w:p>
    <w:p w14:paraId="6718A7FA" w14:textId="1C9D1DB8" w:rsidR="008469AC" w:rsidRDefault="008469AC" w:rsidP="00A95E37">
      <w:pPr>
        <w:pStyle w:val="Heading2"/>
      </w:pPr>
      <w:r>
        <w:t>Design</w:t>
      </w:r>
    </w:p>
    <w:p w14:paraId="18F7405F" w14:textId="0507D7CA" w:rsidR="008469AC" w:rsidRPr="00451488" w:rsidRDefault="00451488" w:rsidP="00A95E37">
      <w:pPr>
        <w:pStyle w:val="Heading3"/>
        <w:rPr>
          <w:b/>
          <w:bCs/>
        </w:rPr>
      </w:pPr>
      <w:r w:rsidRPr="00451488">
        <w:rPr>
          <w:b/>
          <w:bCs/>
        </w:rPr>
        <w:t>Equipment List:</w:t>
      </w:r>
    </w:p>
    <w:p w14:paraId="02E6B4CB" w14:textId="77777777" w:rsidR="00451488" w:rsidRDefault="00451488"/>
    <w:tbl>
      <w:tblPr>
        <w:tblStyle w:val="TableGrid"/>
        <w:tblW w:w="5000" w:type="pct"/>
        <w:jc w:val="center"/>
        <w:tblLook w:val="04A0" w:firstRow="1" w:lastRow="0" w:firstColumn="1" w:lastColumn="0" w:noHBand="0" w:noVBand="1"/>
      </w:tblPr>
      <w:tblGrid>
        <w:gridCol w:w="4611"/>
        <w:gridCol w:w="4739"/>
      </w:tblGrid>
      <w:tr w:rsidR="008469AC" w:rsidRPr="00451488" w14:paraId="2FEF025F" w14:textId="77777777" w:rsidTr="00BF3DD7">
        <w:trPr>
          <w:jc w:val="center"/>
        </w:trPr>
        <w:tc>
          <w:tcPr>
            <w:tcW w:w="3901" w:type="dxa"/>
            <w:vAlign w:val="center"/>
          </w:tcPr>
          <w:p w14:paraId="4738A3DF" w14:textId="545AF792" w:rsidR="008469AC" w:rsidRPr="00451488" w:rsidRDefault="008469AC" w:rsidP="00BF3DD7">
            <w:pPr>
              <w:jc w:val="center"/>
              <w:rPr>
                <w:b/>
                <w:bCs/>
                <w:sz w:val="20"/>
              </w:rPr>
            </w:pPr>
            <w:r w:rsidRPr="00451488">
              <w:rPr>
                <w:b/>
                <w:bCs/>
                <w:sz w:val="20"/>
              </w:rPr>
              <w:t>Item:</w:t>
            </w:r>
          </w:p>
        </w:tc>
        <w:tc>
          <w:tcPr>
            <w:tcW w:w="4009" w:type="dxa"/>
            <w:vAlign w:val="center"/>
          </w:tcPr>
          <w:p w14:paraId="62F36ED0" w14:textId="3D652209" w:rsidR="008469AC" w:rsidRPr="00451488" w:rsidRDefault="008469AC" w:rsidP="00BF3DD7">
            <w:pPr>
              <w:jc w:val="center"/>
              <w:rPr>
                <w:b/>
                <w:bCs/>
                <w:sz w:val="20"/>
              </w:rPr>
            </w:pPr>
            <w:r w:rsidRPr="00451488">
              <w:rPr>
                <w:b/>
                <w:bCs/>
                <w:sz w:val="20"/>
              </w:rPr>
              <w:t>Equipment Number:</w:t>
            </w:r>
          </w:p>
        </w:tc>
      </w:tr>
      <w:tr w:rsidR="008469AC" w:rsidRPr="00451488" w14:paraId="36DEBF9F" w14:textId="77777777" w:rsidTr="00451488">
        <w:trPr>
          <w:jc w:val="center"/>
        </w:trPr>
        <w:tc>
          <w:tcPr>
            <w:tcW w:w="3901" w:type="dxa"/>
          </w:tcPr>
          <w:p w14:paraId="7F3AC40F" w14:textId="77777777" w:rsidR="008469AC" w:rsidRPr="00451488" w:rsidRDefault="008469AC" w:rsidP="00451488">
            <w:pPr>
              <w:jc w:val="left"/>
              <w:rPr>
                <w:sz w:val="20"/>
              </w:rPr>
            </w:pPr>
          </w:p>
        </w:tc>
        <w:tc>
          <w:tcPr>
            <w:tcW w:w="4009" w:type="dxa"/>
          </w:tcPr>
          <w:p w14:paraId="0C807394" w14:textId="77777777" w:rsidR="008469AC" w:rsidRPr="00451488" w:rsidRDefault="008469AC" w:rsidP="00451488">
            <w:pPr>
              <w:jc w:val="left"/>
              <w:rPr>
                <w:sz w:val="20"/>
              </w:rPr>
            </w:pPr>
          </w:p>
        </w:tc>
      </w:tr>
      <w:tr w:rsidR="008469AC" w:rsidRPr="00451488" w14:paraId="7412B412" w14:textId="77777777" w:rsidTr="00451488">
        <w:trPr>
          <w:jc w:val="center"/>
        </w:trPr>
        <w:tc>
          <w:tcPr>
            <w:tcW w:w="3901" w:type="dxa"/>
          </w:tcPr>
          <w:p w14:paraId="1A69FBD9" w14:textId="77777777" w:rsidR="008469AC" w:rsidRPr="00451488" w:rsidRDefault="008469AC" w:rsidP="00451488">
            <w:pPr>
              <w:jc w:val="left"/>
              <w:rPr>
                <w:sz w:val="20"/>
              </w:rPr>
            </w:pPr>
          </w:p>
        </w:tc>
        <w:tc>
          <w:tcPr>
            <w:tcW w:w="4009" w:type="dxa"/>
          </w:tcPr>
          <w:p w14:paraId="6EEF7970" w14:textId="77777777" w:rsidR="008469AC" w:rsidRPr="00451488" w:rsidRDefault="008469AC" w:rsidP="00451488">
            <w:pPr>
              <w:jc w:val="left"/>
              <w:rPr>
                <w:sz w:val="20"/>
              </w:rPr>
            </w:pPr>
          </w:p>
        </w:tc>
      </w:tr>
    </w:tbl>
    <w:p w14:paraId="67B27F19" w14:textId="77777777" w:rsidR="00451488" w:rsidRPr="00D04E50" w:rsidRDefault="00451488" w:rsidP="00451488">
      <w:pPr>
        <w:widowControl w:val="0"/>
        <w:tabs>
          <w:tab w:val="left" w:pos="-720"/>
        </w:tabs>
        <w:suppressAutoHyphens/>
        <w:overflowPunct w:val="0"/>
        <w:autoSpaceDE w:val="0"/>
        <w:autoSpaceDN w:val="0"/>
        <w:adjustRightInd w:val="0"/>
        <w:textAlignment w:val="baseline"/>
      </w:pPr>
    </w:p>
    <w:p w14:paraId="0760B1D5" w14:textId="096843D7" w:rsidR="008469AC" w:rsidRPr="00451488" w:rsidRDefault="00451488" w:rsidP="00A95E37">
      <w:pPr>
        <w:pStyle w:val="Heading3"/>
        <w:rPr>
          <w:b/>
          <w:bCs/>
        </w:rPr>
      </w:pPr>
      <w:r w:rsidRPr="00451488">
        <w:rPr>
          <w:b/>
          <w:bCs/>
        </w:rPr>
        <w:t xml:space="preserve">Performance </w:t>
      </w:r>
      <w:r>
        <w:rPr>
          <w:b/>
          <w:bCs/>
        </w:rPr>
        <w:t>a</w:t>
      </w:r>
      <w:r w:rsidRPr="00451488">
        <w:rPr>
          <w:b/>
          <w:bCs/>
        </w:rPr>
        <w:t>nd Design Requirements:</w:t>
      </w:r>
    </w:p>
    <w:p w14:paraId="42AC165B" w14:textId="77777777" w:rsidR="008469AC" w:rsidRPr="00D04E50" w:rsidRDefault="008469AC" w:rsidP="00A95E37">
      <w:pPr>
        <w:pStyle w:val="Heading4"/>
      </w:pPr>
      <w:r w:rsidRPr="00D04E50">
        <w:t>Sludge handling pumps shall be specifically designed and selected for continuous duty pumping of liquids with the following properties:</w:t>
      </w:r>
    </w:p>
    <w:p w14:paraId="5EE28A8E" w14:textId="77777777" w:rsidR="008469AC" w:rsidRPr="00D04E50" w:rsidRDefault="008469AC" w:rsidP="008469AC">
      <w:pPr>
        <w:widowControl w:val="0"/>
        <w:tabs>
          <w:tab w:val="left" w:pos="0"/>
        </w:tabs>
        <w:suppressAutoHyphens/>
        <w:overflowPunct w:val="0"/>
        <w:autoSpaceDE w:val="0"/>
        <w:autoSpaceDN w:val="0"/>
        <w:adjustRightInd w:val="0"/>
        <w:textAlignment w:val="baseline"/>
      </w:pPr>
    </w:p>
    <w:tbl>
      <w:tblPr>
        <w:tblStyle w:val="TableGrid"/>
        <w:tblW w:w="5000" w:type="pct"/>
        <w:jc w:val="center"/>
        <w:tblLook w:val="04A0" w:firstRow="1" w:lastRow="0" w:firstColumn="1" w:lastColumn="0" w:noHBand="0" w:noVBand="1"/>
      </w:tblPr>
      <w:tblGrid>
        <w:gridCol w:w="4611"/>
        <w:gridCol w:w="4739"/>
      </w:tblGrid>
      <w:tr w:rsidR="00451488" w:rsidRPr="00451488" w14:paraId="77AD4136" w14:textId="77777777" w:rsidTr="006D24DC">
        <w:trPr>
          <w:jc w:val="center"/>
        </w:trPr>
        <w:tc>
          <w:tcPr>
            <w:tcW w:w="3901" w:type="dxa"/>
          </w:tcPr>
          <w:p w14:paraId="3CBCA851" w14:textId="6DAB26F1" w:rsidR="00451488" w:rsidRPr="00451488" w:rsidRDefault="00451488" w:rsidP="006D24DC">
            <w:pPr>
              <w:rPr>
                <w:b/>
                <w:bCs/>
                <w:sz w:val="20"/>
              </w:rPr>
            </w:pPr>
            <w:r w:rsidRPr="00451488">
              <w:rPr>
                <w:sz w:val="20"/>
              </w:rPr>
              <w:t>Percent Solids</w:t>
            </w:r>
          </w:p>
        </w:tc>
        <w:tc>
          <w:tcPr>
            <w:tcW w:w="4009" w:type="dxa"/>
          </w:tcPr>
          <w:p w14:paraId="2C91FD40" w14:textId="5F764B33" w:rsidR="00451488" w:rsidRPr="00451488" w:rsidRDefault="00451488" w:rsidP="006D24DC">
            <w:pPr>
              <w:rPr>
                <w:b/>
                <w:bCs/>
                <w:sz w:val="20"/>
              </w:rPr>
            </w:pPr>
            <w:r w:rsidRPr="00451488">
              <w:rPr>
                <w:sz w:val="20"/>
              </w:rPr>
              <w:t>Up to 8%</w:t>
            </w:r>
          </w:p>
        </w:tc>
      </w:tr>
      <w:tr w:rsidR="00451488" w:rsidRPr="00451488" w14:paraId="28F4B279" w14:textId="77777777" w:rsidTr="006D24DC">
        <w:trPr>
          <w:jc w:val="center"/>
        </w:trPr>
        <w:tc>
          <w:tcPr>
            <w:tcW w:w="3901" w:type="dxa"/>
          </w:tcPr>
          <w:p w14:paraId="4CABA0F7" w14:textId="06749B18" w:rsidR="00451488" w:rsidRPr="00451488" w:rsidRDefault="00451488" w:rsidP="006D24DC">
            <w:pPr>
              <w:jc w:val="left"/>
              <w:rPr>
                <w:sz w:val="20"/>
              </w:rPr>
            </w:pPr>
            <w:r w:rsidRPr="00451488">
              <w:rPr>
                <w:sz w:val="20"/>
              </w:rPr>
              <w:t>pH</w:t>
            </w:r>
          </w:p>
        </w:tc>
        <w:tc>
          <w:tcPr>
            <w:tcW w:w="4009" w:type="dxa"/>
          </w:tcPr>
          <w:p w14:paraId="6F4AF061" w14:textId="0C1F87FE" w:rsidR="00451488" w:rsidRPr="00451488" w:rsidRDefault="00451488" w:rsidP="006D24DC">
            <w:pPr>
              <w:jc w:val="left"/>
              <w:rPr>
                <w:sz w:val="20"/>
              </w:rPr>
            </w:pPr>
            <w:r w:rsidRPr="00451488">
              <w:rPr>
                <w:sz w:val="20"/>
              </w:rPr>
              <w:t>5.5-7</w:t>
            </w:r>
          </w:p>
        </w:tc>
      </w:tr>
      <w:tr w:rsidR="00451488" w:rsidRPr="00451488" w14:paraId="21CBD3BC" w14:textId="77777777" w:rsidTr="006D24DC">
        <w:trPr>
          <w:jc w:val="center"/>
        </w:trPr>
        <w:tc>
          <w:tcPr>
            <w:tcW w:w="3901" w:type="dxa"/>
          </w:tcPr>
          <w:p w14:paraId="4E6FA1E6" w14:textId="5CF4F519" w:rsidR="00451488" w:rsidRPr="00451488" w:rsidRDefault="00451488" w:rsidP="006D24DC">
            <w:pPr>
              <w:jc w:val="left"/>
              <w:rPr>
                <w:sz w:val="20"/>
              </w:rPr>
            </w:pPr>
            <w:r w:rsidRPr="00451488">
              <w:rPr>
                <w:sz w:val="20"/>
              </w:rPr>
              <w:t>Temperature</w:t>
            </w:r>
          </w:p>
        </w:tc>
        <w:tc>
          <w:tcPr>
            <w:tcW w:w="4009" w:type="dxa"/>
          </w:tcPr>
          <w:p w14:paraId="2BA2DB82" w14:textId="32B05FD7" w:rsidR="00451488" w:rsidRPr="00451488" w:rsidRDefault="00451488" w:rsidP="006D24DC">
            <w:pPr>
              <w:jc w:val="left"/>
              <w:rPr>
                <w:sz w:val="20"/>
              </w:rPr>
            </w:pPr>
            <w:r w:rsidRPr="00451488">
              <w:rPr>
                <w:sz w:val="20"/>
              </w:rPr>
              <w:t>70°F</w:t>
            </w:r>
          </w:p>
        </w:tc>
      </w:tr>
    </w:tbl>
    <w:p w14:paraId="11194362" w14:textId="77777777" w:rsidR="008469AC" w:rsidRPr="00D04E50" w:rsidRDefault="008469AC" w:rsidP="008469AC">
      <w:pPr>
        <w:widowControl w:val="0"/>
        <w:tabs>
          <w:tab w:val="left" w:pos="0"/>
        </w:tabs>
        <w:suppressAutoHyphens/>
        <w:overflowPunct w:val="0"/>
        <w:autoSpaceDE w:val="0"/>
        <w:autoSpaceDN w:val="0"/>
        <w:adjustRightInd w:val="0"/>
        <w:textAlignment w:val="baseline"/>
      </w:pPr>
    </w:p>
    <w:p w14:paraId="113AC911" w14:textId="73373590" w:rsidR="008469AC" w:rsidRPr="00D04E50" w:rsidRDefault="008469AC" w:rsidP="008469AC">
      <w:pPr>
        <w:pStyle w:val="Heading4"/>
      </w:pPr>
      <w:r w:rsidRPr="00D04E50">
        <w:t>The pumps shall be of the compact, close-coupled design.</w:t>
      </w:r>
      <w:r w:rsidR="00E75584">
        <w:t xml:space="preserve"> </w:t>
      </w:r>
      <w:r w:rsidRPr="00D04E50">
        <w:t xml:space="preserve">The gear reducer shall be sized for a minimum service factor of 1.5 and designed with a thrust load capability of 150 percent of the actual thrust load. </w:t>
      </w:r>
    </w:p>
    <w:p w14:paraId="17404913" w14:textId="77777777" w:rsidR="008469AC" w:rsidRPr="00D04E50" w:rsidRDefault="008469AC" w:rsidP="008469AC">
      <w:pPr>
        <w:pStyle w:val="Heading4"/>
      </w:pPr>
      <w:r w:rsidRPr="00D04E50">
        <w:lastRenderedPageBreak/>
        <w:t>The pumps, along with associated drive appurtenances, shall be mounted on common fabricated steel baseplates.</w:t>
      </w:r>
    </w:p>
    <w:p w14:paraId="184024B6" w14:textId="77777777" w:rsidR="008469AC" w:rsidRPr="00D04E50" w:rsidRDefault="008469AC" w:rsidP="008469AC">
      <w:pPr>
        <w:pStyle w:val="Heading4"/>
      </w:pPr>
      <w:r w:rsidRPr="00D04E50">
        <w:t>Manufacturers must currently have installations for the same liquids and of the same size pump unit, in service for a minimum of three years. Manufacturers not named in this specification must also provide a pre-submittal package to the engineer no less than three weeks prior to the bid date for approval. The pre-submittal package must include, at minimum, the following: dimensional drawing, performance curve, O&amp;M manual, electrical/drive details, installation list (for the same liquids as specified) with minimum three contacts and phone numbers.</w:t>
      </w:r>
    </w:p>
    <w:p w14:paraId="3221632B" w14:textId="26285D57" w:rsidR="00A95E37" w:rsidRPr="00D04E50" w:rsidRDefault="00451488" w:rsidP="00A95E37">
      <w:pPr>
        <w:pStyle w:val="Heading3"/>
      </w:pPr>
      <w:r w:rsidRPr="00451488">
        <w:rPr>
          <w:b/>
          <w:bCs/>
        </w:rPr>
        <w:t>Transfer Pumps Operating Conditions:</w:t>
      </w:r>
      <w:r>
        <w:t xml:space="preserve"> </w:t>
      </w:r>
      <w:r w:rsidR="00A95E37" w:rsidRPr="00D04E50">
        <w:t>The progressing cavity pumps shall have the following operating characteristics:</w:t>
      </w:r>
    </w:p>
    <w:p w14:paraId="45E6308D" w14:textId="77777777" w:rsidR="00A95E37" w:rsidRPr="00D04E50" w:rsidRDefault="00A95E37" w:rsidP="00A95E37">
      <w:pPr>
        <w:widowControl w:val="0"/>
        <w:tabs>
          <w:tab w:val="left" w:pos="0"/>
        </w:tabs>
        <w:suppressAutoHyphens/>
        <w:overflowPunct w:val="0"/>
        <w:autoSpaceDE w:val="0"/>
        <w:autoSpaceDN w:val="0"/>
        <w:adjustRightInd w:val="0"/>
        <w:spacing w:after="90"/>
        <w:textAlignment w:val="baseline"/>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20" w:type="dxa"/>
          <w:right w:w="120" w:type="dxa"/>
        </w:tblCellMar>
        <w:tblLook w:val="0000" w:firstRow="0" w:lastRow="0" w:firstColumn="0" w:lastColumn="0" w:noHBand="0" w:noVBand="0"/>
      </w:tblPr>
      <w:tblGrid>
        <w:gridCol w:w="1529"/>
        <w:gridCol w:w="1292"/>
        <w:gridCol w:w="1304"/>
        <w:gridCol w:w="1445"/>
        <w:gridCol w:w="1399"/>
        <w:gridCol w:w="1194"/>
        <w:gridCol w:w="1181"/>
      </w:tblGrid>
      <w:tr w:rsidR="00A95E37" w:rsidRPr="00451488" w14:paraId="1258687E" w14:textId="77777777" w:rsidTr="00451488">
        <w:trPr>
          <w:jc w:val="center"/>
        </w:trPr>
        <w:tc>
          <w:tcPr>
            <w:tcW w:w="1491" w:type="dxa"/>
            <w:vAlign w:val="center"/>
          </w:tcPr>
          <w:p w14:paraId="26FCFDA8" w14:textId="0C08310B" w:rsidR="00A95E37" w:rsidRPr="00451488" w:rsidRDefault="00A95E37" w:rsidP="00451488">
            <w:pPr>
              <w:widowControl w:val="0"/>
              <w:tabs>
                <w:tab w:val="center" w:pos="720"/>
              </w:tabs>
              <w:suppressAutoHyphens/>
              <w:overflowPunct w:val="0"/>
              <w:autoSpaceDE w:val="0"/>
              <w:autoSpaceDN w:val="0"/>
              <w:adjustRightInd w:val="0"/>
              <w:spacing w:before="90"/>
              <w:jc w:val="center"/>
              <w:textAlignment w:val="baseline"/>
              <w:rPr>
                <w:b/>
                <w:bCs/>
                <w:sz w:val="20"/>
              </w:rPr>
            </w:pPr>
            <w:r w:rsidRPr="00451488">
              <w:rPr>
                <w:b/>
                <w:bCs/>
                <w:sz w:val="20"/>
              </w:rPr>
              <w:fldChar w:fldCharType="begin"/>
            </w:r>
            <w:r w:rsidRPr="00451488">
              <w:rPr>
                <w:b/>
                <w:bCs/>
                <w:sz w:val="20"/>
              </w:rPr>
              <w:instrText xml:space="preserve">PRIVATE </w:instrText>
            </w:r>
            <w:r w:rsidRPr="00451488">
              <w:rPr>
                <w:b/>
                <w:bCs/>
                <w:sz w:val="20"/>
              </w:rPr>
              <w:fldChar w:fldCharType="end"/>
            </w:r>
            <w:r w:rsidR="00451488">
              <w:rPr>
                <w:b/>
                <w:bCs/>
                <w:sz w:val="20"/>
              </w:rPr>
              <w:t xml:space="preserve"> </w:t>
            </w:r>
            <w:r w:rsidRPr="00451488">
              <w:rPr>
                <w:b/>
                <w:bCs/>
                <w:sz w:val="20"/>
              </w:rPr>
              <w:t>Equipment</w:t>
            </w:r>
            <w:r w:rsidR="00451488">
              <w:rPr>
                <w:b/>
                <w:bCs/>
                <w:sz w:val="20"/>
              </w:rPr>
              <w:t xml:space="preserve"> </w:t>
            </w:r>
            <w:r w:rsidRPr="00451488">
              <w:rPr>
                <w:b/>
                <w:bCs/>
                <w:sz w:val="20"/>
              </w:rPr>
              <w:t>Service</w:t>
            </w:r>
          </w:p>
        </w:tc>
        <w:tc>
          <w:tcPr>
            <w:tcW w:w="1260" w:type="dxa"/>
            <w:vAlign w:val="center"/>
          </w:tcPr>
          <w:p w14:paraId="3711AD9C" w14:textId="770F7D31" w:rsidR="00A95E37" w:rsidRPr="00451488" w:rsidRDefault="00A95E37" w:rsidP="00451488">
            <w:pPr>
              <w:widowControl w:val="0"/>
              <w:tabs>
                <w:tab w:val="center" w:pos="547"/>
              </w:tabs>
              <w:suppressAutoHyphens/>
              <w:overflowPunct w:val="0"/>
              <w:autoSpaceDE w:val="0"/>
              <w:autoSpaceDN w:val="0"/>
              <w:adjustRightInd w:val="0"/>
              <w:spacing w:before="90"/>
              <w:jc w:val="center"/>
              <w:textAlignment w:val="baseline"/>
              <w:rPr>
                <w:b/>
                <w:bCs/>
                <w:sz w:val="20"/>
              </w:rPr>
            </w:pPr>
            <w:r w:rsidRPr="00451488">
              <w:rPr>
                <w:b/>
                <w:bCs/>
                <w:sz w:val="20"/>
              </w:rPr>
              <w:t>Rated</w:t>
            </w:r>
            <w:r w:rsidR="00451488">
              <w:rPr>
                <w:b/>
                <w:bCs/>
                <w:sz w:val="20"/>
              </w:rPr>
              <w:t xml:space="preserve"> </w:t>
            </w:r>
            <w:r w:rsidRPr="00451488">
              <w:rPr>
                <w:b/>
                <w:bCs/>
                <w:sz w:val="20"/>
              </w:rPr>
              <w:t>Capacity,</w:t>
            </w:r>
            <w:r w:rsidR="00451488">
              <w:rPr>
                <w:b/>
                <w:bCs/>
                <w:sz w:val="20"/>
              </w:rPr>
              <w:t xml:space="preserve"> </w:t>
            </w:r>
            <w:r w:rsidRPr="00451488">
              <w:rPr>
                <w:b/>
                <w:bCs/>
                <w:sz w:val="20"/>
              </w:rPr>
              <w:t>gpm</w:t>
            </w:r>
          </w:p>
        </w:tc>
        <w:tc>
          <w:tcPr>
            <w:tcW w:w="1272" w:type="dxa"/>
            <w:vAlign w:val="center"/>
          </w:tcPr>
          <w:p w14:paraId="0660F2AC" w14:textId="30BC9EB3" w:rsidR="00A95E37" w:rsidRPr="00451488" w:rsidRDefault="00A95E37" w:rsidP="00451488">
            <w:pPr>
              <w:widowControl w:val="0"/>
              <w:tabs>
                <w:tab w:val="center" w:pos="547"/>
              </w:tabs>
              <w:suppressAutoHyphens/>
              <w:overflowPunct w:val="0"/>
              <w:autoSpaceDE w:val="0"/>
              <w:autoSpaceDN w:val="0"/>
              <w:adjustRightInd w:val="0"/>
              <w:spacing w:before="90"/>
              <w:jc w:val="center"/>
              <w:textAlignment w:val="baseline"/>
              <w:rPr>
                <w:b/>
                <w:bCs/>
                <w:sz w:val="20"/>
              </w:rPr>
            </w:pPr>
            <w:r w:rsidRPr="00451488">
              <w:rPr>
                <w:b/>
                <w:bCs/>
                <w:sz w:val="20"/>
              </w:rPr>
              <w:t>Differential</w:t>
            </w:r>
            <w:r w:rsidR="00451488">
              <w:rPr>
                <w:b/>
                <w:bCs/>
                <w:sz w:val="20"/>
              </w:rPr>
              <w:t xml:space="preserve"> </w:t>
            </w:r>
            <w:r w:rsidRPr="00451488">
              <w:rPr>
                <w:b/>
                <w:bCs/>
                <w:sz w:val="20"/>
              </w:rPr>
              <w:t>Pressure</w:t>
            </w:r>
            <w:r w:rsidR="00451488">
              <w:rPr>
                <w:b/>
                <w:bCs/>
                <w:sz w:val="20"/>
              </w:rPr>
              <w:t xml:space="preserve"> </w:t>
            </w:r>
            <w:r w:rsidRPr="00451488">
              <w:rPr>
                <w:b/>
                <w:bCs/>
                <w:sz w:val="20"/>
              </w:rPr>
              <w:t>psi</w:t>
            </w:r>
            <w:r w:rsidR="00451488">
              <w:rPr>
                <w:b/>
                <w:bCs/>
                <w:sz w:val="20"/>
              </w:rPr>
              <w:t xml:space="preserve"> </w:t>
            </w:r>
          </w:p>
        </w:tc>
        <w:tc>
          <w:tcPr>
            <w:tcW w:w="1409" w:type="dxa"/>
            <w:vAlign w:val="center"/>
          </w:tcPr>
          <w:p w14:paraId="2D4E024D" w14:textId="549B77D7" w:rsidR="00A95E37" w:rsidRPr="00451488" w:rsidRDefault="00A95E37" w:rsidP="00451488">
            <w:pPr>
              <w:widowControl w:val="0"/>
              <w:tabs>
                <w:tab w:val="center" w:pos="547"/>
              </w:tabs>
              <w:suppressAutoHyphens/>
              <w:overflowPunct w:val="0"/>
              <w:autoSpaceDE w:val="0"/>
              <w:autoSpaceDN w:val="0"/>
              <w:adjustRightInd w:val="0"/>
              <w:spacing w:before="90"/>
              <w:jc w:val="center"/>
              <w:textAlignment w:val="baseline"/>
              <w:rPr>
                <w:b/>
                <w:bCs/>
                <w:sz w:val="20"/>
              </w:rPr>
            </w:pPr>
            <w:r w:rsidRPr="00451488">
              <w:rPr>
                <w:b/>
                <w:bCs/>
                <w:sz w:val="20"/>
              </w:rPr>
              <w:t>Maximum/</w:t>
            </w:r>
            <w:r w:rsidR="00451488">
              <w:rPr>
                <w:b/>
                <w:bCs/>
                <w:sz w:val="20"/>
              </w:rPr>
              <w:t xml:space="preserve"> </w:t>
            </w:r>
            <w:r w:rsidRPr="00451488">
              <w:rPr>
                <w:b/>
                <w:bCs/>
                <w:sz w:val="20"/>
              </w:rPr>
              <w:t>minimum</w:t>
            </w:r>
            <w:r w:rsidR="00451488">
              <w:rPr>
                <w:b/>
                <w:bCs/>
                <w:sz w:val="20"/>
              </w:rPr>
              <w:t xml:space="preserve"> </w:t>
            </w:r>
            <w:r w:rsidRPr="00451488">
              <w:rPr>
                <w:b/>
                <w:bCs/>
                <w:sz w:val="20"/>
              </w:rPr>
              <w:t>pump speed,</w:t>
            </w:r>
            <w:r w:rsidR="00451488">
              <w:rPr>
                <w:b/>
                <w:bCs/>
                <w:sz w:val="20"/>
              </w:rPr>
              <w:t xml:space="preserve"> </w:t>
            </w:r>
            <w:r w:rsidRPr="00451488">
              <w:rPr>
                <w:b/>
                <w:bCs/>
                <w:sz w:val="20"/>
              </w:rPr>
              <w:t>rpm</w:t>
            </w:r>
          </w:p>
        </w:tc>
        <w:tc>
          <w:tcPr>
            <w:tcW w:w="1364" w:type="dxa"/>
            <w:vAlign w:val="center"/>
          </w:tcPr>
          <w:p w14:paraId="5E41D648" w14:textId="18C519F5" w:rsidR="00A95E37" w:rsidRPr="00451488" w:rsidRDefault="00A95E37" w:rsidP="00451488">
            <w:pPr>
              <w:widowControl w:val="0"/>
              <w:tabs>
                <w:tab w:val="center" w:pos="547"/>
              </w:tabs>
              <w:suppressAutoHyphens/>
              <w:overflowPunct w:val="0"/>
              <w:autoSpaceDE w:val="0"/>
              <w:autoSpaceDN w:val="0"/>
              <w:adjustRightInd w:val="0"/>
              <w:spacing w:before="90"/>
              <w:jc w:val="center"/>
              <w:textAlignment w:val="baseline"/>
              <w:rPr>
                <w:b/>
                <w:bCs/>
                <w:sz w:val="20"/>
              </w:rPr>
            </w:pPr>
            <w:r w:rsidRPr="00451488">
              <w:rPr>
                <w:b/>
                <w:bCs/>
                <w:sz w:val="20"/>
              </w:rPr>
              <w:t>Suction and</w:t>
            </w:r>
            <w:r w:rsidR="00451488">
              <w:rPr>
                <w:b/>
                <w:bCs/>
                <w:sz w:val="20"/>
              </w:rPr>
              <w:t xml:space="preserve"> </w:t>
            </w:r>
            <w:r w:rsidRPr="00451488">
              <w:rPr>
                <w:b/>
                <w:bCs/>
                <w:sz w:val="20"/>
              </w:rPr>
              <w:t>discharge</w:t>
            </w:r>
            <w:r w:rsidR="00451488">
              <w:rPr>
                <w:b/>
                <w:bCs/>
                <w:sz w:val="20"/>
              </w:rPr>
              <w:t xml:space="preserve"> </w:t>
            </w:r>
            <w:r w:rsidRPr="00451488">
              <w:rPr>
                <w:b/>
                <w:bCs/>
                <w:sz w:val="20"/>
              </w:rPr>
              <w:t>port size,</w:t>
            </w:r>
            <w:r w:rsidR="00451488">
              <w:rPr>
                <w:b/>
                <w:bCs/>
                <w:sz w:val="20"/>
              </w:rPr>
              <w:t xml:space="preserve"> </w:t>
            </w:r>
            <w:r w:rsidR="00451488">
              <w:rPr>
                <w:b/>
                <w:bCs/>
                <w:sz w:val="20"/>
              </w:rPr>
              <w:br/>
            </w:r>
            <w:r w:rsidRPr="00451488">
              <w:rPr>
                <w:b/>
                <w:bCs/>
                <w:sz w:val="20"/>
              </w:rPr>
              <w:t>in</w:t>
            </w:r>
          </w:p>
        </w:tc>
        <w:tc>
          <w:tcPr>
            <w:tcW w:w="1164" w:type="dxa"/>
            <w:vAlign w:val="center"/>
          </w:tcPr>
          <w:p w14:paraId="0B711148" w14:textId="2DD0D36D" w:rsidR="00A95E37" w:rsidRPr="00451488" w:rsidRDefault="00A95E37" w:rsidP="00451488">
            <w:pPr>
              <w:widowControl w:val="0"/>
              <w:tabs>
                <w:tab w:val="center" w:pos="461"/>
              </w:tabs>
              <w:suppressAutoHyphens/>
              <w:overflowPunct w:val="0"/>
              <w:autoSpaceDE w:val="0"/>
              <w:autoSpaceDN w:val="0"/>
              <w:adjustRightInd w:val="0"/>
              <w:spacing w:before="90"/>
              <w:jc w:val="center"/>
              <w:textAlignment w:val="baseline"/>
              <w:rPr>
                <w:b/>
                <w:bCs/>
                <w:sz w:val="20"/>
              </w:rPr>
            </w:pPr>
            <w:r w:rsidRPr="00451488">
              <w:rPr>
                <w:b/>
                <w:bCs/>
                <w:sz w:val="20"/>
              </w:rPr>
              <w:t>Minimum</w:t>
            </w:r>
            <w:r w:rsidR="00451488">
              <w:rPr>
                <w:b/>
                <w:bCs/>
                <w:sz w:val="20"/>
              </w:rPr>
              <w:t xml:space="preserve"> </w:t>
            </w:r>
            <w:r w:rsidRPr="00451488">
              <w:rPr>
                <w:b/>
                <w:bCs/>
                <w:sz w:val="20"/>
              </w:rPr>
              <w:t>motor</w:t>
            </w:r>
            <w:r w:rsidR="00451488">
              <w:rPr>
                <w:b/>
                <w:bCs/>
                <w:sz w:val="20"/>
              </w:rPr>
              <w:t xml:space="preserve"> </w:t>
            </w:r>
            <w:r w:rsidR="00451488">
              <w:rPr>
                <w:b/>
                <w:bCs/>
                <w:sz w:val="20"/>
              </w:rPr>
              <w:br/>
            </w:r>
            <w:r w:rsidRPr="00451488">
              <w:rPr>
                <w:b/>
                <w:bCs/>
                <w:sz w:val="20"/>
              </w:rPr>
              <w:t>hp</w:t>
            </w:r>
          </w:p>
        </w:tc>
        <w:tc>
          <w:tcPr>
            <w:tcW w:w="1152" w:type="dxa"/>
            <w:vAlign w:val="center"/>
          </w:tcPr>
          <w:p w14:paraId="0BB0A28B" w14:textId="42B33A88" w:rsidR="00A95E37" w:rsidRPr="00451488" w:rsidRDefault="00A95E37" w:rsidP="00451488">
            <w:pPr>
              <w:widowControl w:val="0"/>
              <w:tabs>
                <w:tab w:val="center" w:pos="417"/>
              </w:tabs>
              <w:suppressAutoHyphens/>
              <w:overflowPunct w:val="0"/>
              <w:autoSpaceDE w:val="0"/>
              <w:autoSpaceDN w:val="0"/>
              <w:adjustRightInd w:val="0"/>
              <w:spacing w:before="90" w:after="54"/>
              <w:jc w:val="center"/>
              <w:textAlignment w:val="baseline"/>
              <w:rPr>
                <w:b/>
                <w:bCs/>
                <w:sz w:val="20"/>
              </w:rPr>
            </w:pPr>
            <w:r w:rsidRPr="00451488">
              <w:rPr>
                <w:b/>
                <w:bCs/>
                <w:sz w:val="20"/>
              </w:rPr>
              <w:t>Drive</w:t>
            </w:r>
          </w:p>
        </w:tc>
      </w:tr>
      <w:tr w:rsidR="00A95E37" w:rsidRPr="00451488" w14:paraId="14B2D771" w14:textId="77777777" w:rsidTr="00451488">
        <w:trPr>
          <w:jc w:val="center"/>
        </w:trPr>
        <w:tc>
          <w:tcPr>
            <w:tcW w:w="1491" w:type="dxa"/>
          </w:tcPr>
          <w:p w14:paraId="5ABFA10A" w14:textId="77777777" w:rsidR="00A95E37" w:rsidRPr="00451488" w:rsidRDefault="00A95E37" w:rsidP="00451488">
            <w:pPr>
              <w:widowControl w:val="0"/>
              <w:tabs>
                <w:tab w:val="left" w:pos="-720"/>
              </w:tabs>
              <w:suppressAutoHyphens/>
              <w:overflowPunct w:val="0"/>
              <w:autoSpaceDE w:val="0"/>
              <w:autoSpaceDN w:val="0"/>
              <w:adjustRightInd w:val="0"/>
              <w:jc w:val="left"/>
              <w:textAlignment w:val="baseline"/>
              <w:rPr>
                <w:sz w:val="20"/>
              </w:rPr>
            </w:pPr>
          </w:p>
        </w:tc>
        <w:tc>
          <w:tcPr>
            <w:tcW w:w="1260" w:type="dxa"/>
          </w:tcPr>
          <w:p w14:paraId="6FB17CAD" w14:textId="06DF7770" w:rsidR="00A95E37" w:rsidRPr="00451488" w:rsidRDefault="00A95E37" w:rsidP="00451488">
            <w:pPr>
              <w:widowControl w:val="0"/>
              <w:tabs>
                <w:tab w:val="left" w:pos="-720"/>
              </w:tabs>
              <w:suppressAutoHyphens/>
              <w:overflowPunct w:val="0"/>
              <w:autoSpaceDE w:val="0"/>
              <w:autoSpaceDN w:val="0"/>
              <w:adjustRightInd w:val="0"/>
              <w:spacing w:after="54"/>
              <w:jc w:val="left"/>
              <w:textAlignment w:val="baseline"/>
              <w:rPr>
                <w:sz w:val="20"/>
              </w:rPr>
            </w:pPr>
          </w:p>
        </w:tc>
        <w:tc>
          <w:tcPr>
            <w:tcW w:w="1272" w:type="dxa"/>
          </w:tcPr>
          <w:p w14:paraId="3D0003A6" w14:textId="7E301B8C" w:rsidR="00A95E37" w:rsidRPr="00451488" w:rsidRDefault="00A95E37" w:rsidP="00451488">
            <w:pPr>
              <w:widowControl w:val="0"/>
              <w:tabs>
                <w:tab w:val="left" w:pos="-720"/>
              </w:tabs>
              <w:suppressAutoHyphens/>
              <w:overflowPunct w:val="0"/>
              <w:autoSpaceDE w:val="0"/>
              <w:autoSpaceDN w:val="0"/>
              <w:adjustRightInd w:val="0"/>
              <w:jc w:val="left"/>
              <w:textAlignment w:val="baseline"/>
              <w:rPr>
                <w:sz w:val="20"/>
              </w:rPr>
            </w:pPr>
          </w:p>
        </w:tc>
        <w:tc>
          <w:tcPr>
            <w:tcW w:w="1409" w:type="dxa"/>
          </w:tcPr>
          <w:p w14:paraId="7E752E00" w14:textId="63321706" w:rsidR="00A95E37" w:rsidRPr="00451488" w:rsidRDefault="00A95E37" w:rsidP="00451488">
            <w:pPr>
              <w:widowControl w:val="0"/>
              <w:tabs>
                <w:tab w:val="left" w:pos="-720"/>
              </w:tabs>
              <w:suppressAutoHyphens/>
              <w:overflowPunct w:val="0"/>
              <w:autoSpaceDE w:val="0"/>
              <w:autoSpaceDN w:val="0"/>
              <w:adjustRightInd w:val="0"/>
              <w:spacing w:after="54"/>
              <w:jc w:val="left"/>
              <w:textAlignment w:val="baseline"/>
              <w:rPr>
                <w:sz w:val="20"/>
              </w:rPr>
            </w:pPr>
          </w:p>
        </w:tc>
        <w:tc>
          <w:tcPr>
            <w:tcW w:w="1364" w:type="dxa"/>
          </w:tcPr>
          <w:p w14:paraId="5A13AE09" w14:textId="77777777" w:rsidR="00A95E37" w:rsidRPr="00451488" w:rsidRDefault="00A95E37" w:rsidP="00451488">
            <w:pPr>
              <w:widowControl w:val="0"/>
              <w:tabs>
                <w:tab w:val="left" w:pos="-720"/>
              </w:tabs>
              <w:suppressAutoHyphens/>
              <w:overflowPunct w:val="0"/>
              <w:autoSpaceDE w:val="0"/>
              <w:autoSpaceDN w:val="0"/>
              <w:adjustRightInd w:val="0"/>
              <w:jc w:val="left"/>
              <w:textAlignment w:val="baseline"/>
              <w:rPr>
                <w:sz w:val="20"/>
              </w:rPr>
            </w:pPr>
          </w:p>
        </w:tc>
        <w:tc>
          <w:tcPr>
            <w:tcW w:w="1164" w:type="dxa"/>
          </w:tcPr>
          <w:p w14:paraId="449DCB36" w14:textId="77777777" w:rsidR="00A95E37" w:rsidRPr="00451488" w:rsidRDefault="00A95E37" w:rsidP="00451488">
            <w:pPr>
              <w:widowControl w:val="0"/>
              <w:tabs>
                <w:tab w:val="left" w:pos="-720"/>
              </w:tabs>
              <w:suppressAutoHyphens/>
              <w:overflowPunct w:val="0"/>
              <w:autoSpaceDE w:val="0"/>
              <w:autoSpaceDN w:val="0"/>
              <w:adjustRightInd w:val="0"/>
              <w:jc w:val="left"/>
              <w:textAlignment w:val="baseline"/>
              <w:rPr>
                <w:sz w:val="20"/>
              </w:rPr>
            </w:pPr>
          </w:p>
        </w:tc>
        <w:tc>
          <w:tcPr>
            <w:tcW w:w="1152" w:type="dxa"/>
          </w:tcPr>
          <w:p w14:paraId="14442101" w14:textId="21F58668" w:rsidR="00A95E37" w:rsidRPr="00451488" w:rsidRDefault="00A95E37" w:rsidP="00451488">
            <w:pPr>
              <w:widowControl w:val="0"/>
              <w:tabs>
                <w:tab w:val="left" w:pos="-720"/>
              </w:tabs>
              <w:suppressAutoHyphens/>
              <w:overflowPunct w:val="0"/>
              <w:autoSpaceDE w:val="0"/>
              <w:autoSpaceDN w:val="0"/>
              <w:adjustRightInd w:val="0"/>
              <w:spacing w:after="54"/>
              <w:jc w:val="left"/>
              <w:textAlignment w:val="baseline"/>
              <w:rPr>
                <w:sz w:val="20"/>
              </w:rPr>
            </w:pPr>
          </w:p>
        </w:tc>
      </w:tr>
    </w:tbl>
    <w:p w14:paraId="71576895" w14:textId="77777777" w:rsidR="00451488" w:rsidRPr="00D04E50" w:rsidRDefault="00451488" w:rsidP="00451488">
      <w:pPr>
        <w:widowControl w:val="0"/>
        <w:tabs>
          <w:tab w:val="left" w:pos="0"/>
        </w:tabs>
        <w:suppressAutoHyphens/>
        <w:overflowPunct w:val="0"/>
        <w:autoSpaceDE w:val="0"/>
        <w:autoSpaceDN w:val="0"/>
        <w:adjustRightInd w:val="0"/>
        <w:spacing w:after="90"/>
        <w:textAlignment w:val="baseline"/>
      </w:pPr>
    </w:p>
    <w:p w14:paraId="2BFFC6BF" w14:textId="7F41EF45" w:rsidR="00A95E37" w:rsidRPr="00D04E50" w:rsidRDefault="00451488" w:rsidP="00A95E37">
      <w:pPr>
        <w:pStyle w:val="Heading3"/>
      </w:pPr>
      <w:r w:rsidRPr="00451488">
        <w:rPr>
          <w:b/>
          <w:bCs/>
        </w:rPr>
        <w:t>Feed Pumps Operating Conditions:</w:t>
      </w:r>
      <w:r>
        <w:t xml:space="preserve"> </w:t>
      </w:r>
      <w:r w:rsidR="00A95E37" w:rsidRPr="00D04E50">
        <w:t>The progressing cavity pumps shall have the following operating characteristics:</w:t>
      </w:r>
    </w:p>
    <w:p w14:paraId="0E7845D0" w14:textId="0F8FF766" w:rsidR="00A95E37" w:rsidRPr="00D04E50" w:rsidRDefault="00A95E37" w:rsidP="00A95E37">
      <w:pPr>
        <w:widowControl w:val="0"/>
        <w:tabs>
          <w:tab w:val="left" w:pos="0"/>
        </w:tabs>
        <w:suppressAutoHyphens/>
        <w:overflowPunct w:val="0"/>
        <w:autoSpaceDE w:val="0"/>
        <w:autoSpaceDN w:val="0"/>
        <w:adjustRightInd w:val="0"/>
        <w:spacing w:after="90"/>
        <w:textAlignment w:val="baseline"/>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20" w:type="dxa"/>
          <w:right w:w="120" w:type="dxa"/>
        </w:tblCellMar>
        <w:tblLook w:val="0000" w:firstRow="0" w:lastRow="0" w:firstColumn="0" w:lastColumn="0" w:noHBand="0" w:noVBand="0"/>
      </w:tblPr>
      <w:tblGrid>
        <w:gridCol w:w="1529"/>
        <w:gridCol w:w="1292"/>
        <w:gridCol w:w="1304"/>
        <w:gridCol w:w="1445"/>
        <w:gridCol w:w="1399"/>
        <w:gridCol w:w="1194"/>
        <w:gridCol w:w="1181"/>
      </w:tblGrid>
      <w:tr w:rsidR="00A95E37" w:rsidRPr="00451488" w14:paraId="42D8B7D0" w14:textId="77777777" w:rsidTr="00451488">
        <w:trPr>
          <w:jc w:val="center"/>
        </w:trPr>
        <w:tc>
          <w:tcPr>
            <w:tcW w:w="1529" w:type="dxa"/>
            <w:vAlign w:val="center"/>
          </w:tcPr>
          <w:bookmarkStart w:id="0" w:name="_Hlk70491272"/>
          <w:p w14:paraId="1E2CF02E" w14:textId="4224A2AD" w:rsidR="00A95E37" w:rsidRPr="00451488" w:rsidRDefault="00A95E37" w:rsidP="00451488">
            <w:pPr>
              <w:widowControl w:val="0"/>
              <w:tabs>
                <w:tab w:val="center" w:pos="720"/>
              </w:tabs>
              <w:suppressAutoHyphens/>
              <w:overflowPunct w:val="0"/>
              <w:autoSpaceDE w:val="0"/>
              <w:autoSpaceDN w:val="0"/>
              <w:adjustRightInd w:val="0"/>
              <w:spacing w:before="90"/>
              <w:jc w:val="center"/>
              <w:textAlignment w:val="baseline"/>
              <w:rPr>
                <w:b/>
                <w:bCs/>
                <w:sz w:val="20"/>
              </w:rPr>
            </w:pPr>
            <w:r w:rsidRPr="00451488">
              <w:rPr>
                <w:b/>
                <w:bCs/>
                <w:sz w:val="20"/>
              </w:rPr>
              <w:fldChar w:fldCharType="begin"/>
            </w:r>
            <w:r w:rsidRPr="00451488">
              <w:rPr>
                <w:b/>
                <w:bCs/>
                <w:sz w:val="20"/>
              </w:rPr>
              <w:instrText xml:space="preserve">PRIVATE </w:instrText>
            </w:r>
            <w:r w:rsidRPr="00451488">
              <w:rPr>
                <w:b/>
                <w:bCs/>
                <w:sz w:val="20"/>
              </w:rPr>
              <w:fldChar w:fldCharType="end"/>
            </w:r>
            <w:r w:rsidR="00451488">
              <w:rPr>
                <w:b/>
                <w:bCs/>
                <w:sz w:val="20"/>
              </w:rPr>
              <w:t xml:space="preserve"> </w:t>
            </w:r>
            <w:r w:rsidRPr="00451488">
              <w:rPr>
                <w:b/>
                <w:bCs/>
                <w:sz w:val="20"/>
              </w:rPr>
              <w:t>Equipment</w:t>
            </w:r>
            <w:r w:rsidR="00451488">
              <w:rPr>
                <w:b/>
                <w:bCs/>
                <w:sz w:val="20"/>
              </w:rPr>
              <w:t xml:space="preserve"> </w:t>
            </w:r>
            <w:r w:rsidRPr="00451488">
              <w:rPr>
                <w:b/>
                <w:bCs/>
                <w:sz w:val="20"/>
              </w:rPr>
              <w:t>Service</w:t>
            </w:r>
          </w:p>
        </w:tc>
        <w:tc>
          <w:tcPr>
            <w:tcW w:w="1292" w:type="dxa"/>
            <w:vAlign w:val="center"/>
          </w:tcPr>
          <w:p w14:paraId="6FE58D6D" w14:textId="33D4078E" w:rsidR="00A95E37" w:rsidRPr="00451488" w:rsidRDefault="00A95E37" w:rsidP="00451488">
            <w:pPr>
              <w:widowControl w:val="0"/>
              <w:tabs>
                <w:tab w:val="center" w:pos="547"/>
              </w:tabs>
              <w:suppressAutoHyphens/>
              <w:overflowPunct w:val="0"/>
              <w:autoSpaceDE w:val="0"/>
              <w:autoSpaceDN w:val="0"/>
              <w:adjustRightInd w:val="0"/>
              <w:spacing w:before="90"/>
              <w:jc w:val="center"/>
              <w:textAlignment w:val="baseline"/>
              <w:rPr>
                <w:b/>
                <w:bCs/>
                <w:sz w:val="20"/>
              </w:rPr>
            </w:pPr>
            <w:r w:rsidRPr="00451488">
              <w:rPr>
                <w:b/>
                <w:bCs/>
                <w:sz w:val="20"/>
              </w:rPr>
              <w:t>Rated</w:t>
            </w:r>
            <w:r w:rsidR="00451488">
              <w:rPr>
                <w:b/>
                <w:bCs/>
                <w:sz w:val="20"/>
              </w:rPr>
              <w:t xml:space="preserve"> </w:t>
            </w:r>
            <w:r w:rsidRPr="00451488">
              <w:rPr>
                <w:b/>
                <w:bCs/>
                <w:sz w:val="20"/>
              </w:rPr>
              <w:t>Capacity,</w:t>
            </w:r>
            <w:r w:rsidR="00451488">
              <w:rPr>
                <w:b/>
                <w:bCs/>
                <w:sz w:val="20"/>
              </w:rPr>
              <w:t xml:space="preserve"> </w:t>
            </w:r>
            <w:r w:rsidRPr="00451488">
              <w:rPr>
                <w:b/>
                <w:bCs/>
                <w:sz w:val="20"/>
              </w:rPr>
              <w:t>gpm</w:t>
            </w:r>
          </w:p>
        </w:tc>
        <w:tc>
          <w:tcPr>
            <w:tcW w:w="1304" w:type="dxa"/>
            <w:vAlign w:val="center"/>
          </w:tcPr>
          <w:p w14:paraId="768959DA" w14:textId="2B84C649" w:rsidR="00A95E37" w:rsidRPr="00451488" w:rsidRDefault="00A95E37" w:rsidP="00451488">
            <w:pPr>
              <w:widowControl w:val="0"/>
              <w:tabs>
                <w:tab w:val="center" w:pos="547"/>
              </w:tabs>
              <w:suppressAutoHyphens/>
              <w:overflowPunct w:val="0"/>
              <w:autoSpaceDE w:val="0"/>
              <w:autoSpaceDN w:val="0"/>
              <w:adjustRightInd w:val="0"/>
              <w:spacing w:before="90"/>
              <w:jc w:val="center"/>
              <w:textAlignment w:val="baseline"/>
              <w:rPr>
                <w:b/>
                <w:bCs/>
                <w:sz w:val="20"/>
              </w:rPr>
            </w:pPr>
            <w:r w:rsidRPr="00451488">
              <w:rPr>
                <w:b/>
                <w:bCs/>
                <w:sz w:val="20"/>
              </w:rPr>
              <w:t>Differential</w:t>
            </w:r>
            <w:r w:rsidR="00451488">
              <w:rPr>
                <w:b/>
                <w:bCs/>
                <w:sz w:val="20"/>
              </w:rPr>
              <w:t xml:space="preserve"> </w:t>
            </w:r>
            <w:r w:rsidRPr="00451488">
              <w:rPr>
                <w:b/>
                <w:bCs/>
                <w:sz w:val="20"/>
              </w:rPr>
              <w:t>Pressure</w:t>
            </w:r>
            <w:r w:rsidR="00451488">
              <w:rPr>
                <w:b/>
                <w:bCs/>
                <w:sz w:val="20"/>
              </w:rPr>
              <w:t xml:space="preserve"> </w:t>
            </w:r>
            <w:r w:rsidR="00451488">
              <w:rPr>
                <w:b/>
                <w:bCs/>
                <w:sz w:val="20"/>
              </w:rPr>
              <w:br/>
            </w:r>
            <w:r w:rsidRPr="00451488">
              <w:rPr>
                <w:b/>
                <w:bCs/>
                <w:sz w:val="20"/>
              </w:rPr>
              <w:t>psi</w:t>
            </w:r>
          </w:p>
        </w:tc>
        <w:tc>
          <w:tcPr>
            <w:tcW w:w="1445" w:type="dxa"/>
            <w:vAlign w:val="center"/>
          </w:tcPr>
          <w:p w14:paraId="481F8EC1" w14:textId="700D3850" w:rsidR="00A95E37" w:rsidRPr="00451488" w:rsidRDefault="00A95E37" w:rsidP="00451488">
            <w:pPr>
              <w:widowControl w:val="0"/>
              <w:tabs>
                <w:tab w:val="center" w:pos="547"/>
              </w:tabs>
              <w:suppressAutoHyphens/>
              <w:overflowPunct w:val="0"/>
              <w:autoSpaceDE w:val="0"/>
              <w:autoSpaceDN w:val="0"/>
              <w:adjustRightInd w:val="0"/>
              <w:spacing w:before="90"/>
              <w:jc w:val="center"/>
              <w:textAlignment w:val="baseline"/>
              <w:rPr>
                <w:b/>
                <w:bCs/>
                <w:sz w:val="20"/>
              </w:rPr>
            </w:pPr>
            <w:r w:rsidRPr="00451488">
              <w:rPr>
                <w:b/>
                <w:bCs/>
                <w:sz w:val="20"/>
              </w:rPr>
              <w:t>Maximum/</w:t>
            </w:r>
            <w:r w:rsidR="00451488">
              <w:rPr>
                <w:b/>
                <w:bCs/>
                <w:sz w:val="20"/>
              </w:rPr>
              <w:t xml:space="preserve"> </w:t>
            </w:r>
            <w:r w:rsidRPr="00451488">
              <w:rPr>
                <w:b/>
                <w:bCs/>
                <w:sz w:val="20"/>
              </w:rPr>
              <w:t>minimum</w:t>
            </w:r>
            <w:r w:rsidR="00451488">
              <w:rPr>
                <w:b/>
                <w:bCs/>
                <w:sz w:val="20"/>
              </w:rPr>
              <w:t xml:space="preserve"> </w:t>
            </w:r>
            <w:r w:rsidRPr="00451488">
              <w:rPr>
                <w:b/>
                <w:bCs/>
                <w:sz w:val="20"/>
              </w:rPr>
              <w:t>pump speed,</w:t>
            </w:r>
            <w:r w:rsidR="00451488">
              <w:rPr>
                <w:b/>
                <w:bCs/>
                <w:sz w:val="20"/>
              </w:rPr>
              <w:t xml:space="preserve"> </w:t>
            </w:r>
            <w:r w:rsidRPr="00451488">
              <w:rPr>
                <w:b/>
                <w:bCs/>
                <w:sz w:val="20"/>
              </w:rPr>
              <w:t>rpm</w:t>
            </w:r>
          </w:p>
        </w:tc>
        <w:tc>
          <w:tcPr>
            <w:tcW w:w="1399" w:type="dxa"/>
            <w:vAlign w:val="center"/>
          </w:tcPr>
          <w:p w14:paraId="5AEA8668" w14:textId="6484301E" w:rsidR="00A95E37" w:rsidRPr="00451488" w:rsidRDefault="00A95E37" w:rsidP="00451488">
            <w:pPr>
              <w:widowControl w:val="0"/>
              <w:tabs>
                <w:tab w:val="center" w:pos="547"/>
              </w:tabs>
              <w:suppressAutoHyphens/>
              <w:overflowPunct w:val="0"/>
              <w:autoSpaceDE w:val="0"/>
              <w:autoSpaceDN w:val="0"/>
              <w:adjustRightInd w:val="0"/>
              <w:spacing w:before="90"/>
              <w:jc w:val="center"/>
              <w:textAlignment w:val="baseline"/>
              <w:rPr>
                <w:b/>
                <w:bCs/>
                <w:sz w:val="20"/>
              </w:rPr>
            </w:pPr>
            <w:r w:rsidRPr="00451488">
              <w:rPr>
                <w:b/>
                <w:bCs/>
                <w:sz w:val="20"/>
              </w:rPr>
              <w:t>Suction and</w:t>
            </w:r>
            <w:r w:rsidR="00451488">
              <w:rPr>
                <w:b/>
                <w:bCs/>
                <w:sz w:val="20"/>
              </w:rPr>
              <w:t xml:space="preserve"> </w:t>
            </w:r>
            <w:r w:rsidRPr="00451488">
              <w:rPr>
                <w:b/>
                <w:bCs/>
                <w:sz w:val="20"/>
              </w:rPr>
              <w:t>discharge</w:t>
            </w:r>
            <w:r w:rsidR="00451488">
              <w:rPr>
                <w:b/>
                <w:bCs/>
                <w:sz w:val="20"/>
              </w:rPr>
              <w:t xml:space="preserve"> </w:t>
            </w:r>
            <w:r w:rsidRPr="00451488">
              <w:rPr>
                <w:b/>
                <w:bCs/>
                <w:sz w:val="20"/>
              </w:rPr>
              <w:t>port size,</w:t>
            </w:r>
            <w:r w:rsidR="00451488">
              <w:rPr>
                <w:b/>
                <w:bCs/>
                <w:sz w:val="20"/>
              </w:rPr>
              <w:t xml:space="preserve"> </w:t>
            </w:r>
            <w:r w:rsidR="00451488">
              <w:rPr>
                <w:b/>
                <w:bCs/>
                <w:sz w:val="20"/>
              </w:rPr>
              <w:br/>
            </w:r>
            <w:r w:rsidRPr="00451488">
              <w:rPr>
                <w:b/>
                <w:bCs/>
                <w:sz w:val="20"/>
              </w:rPr>
              <w:t>in</w:t>
            </w:r>
          </w:p>
        </w:tc>
        <w:tc>
          <w:tcPr>
            <w:tcW w:w="1194" w:type="dxa"/>
            <w:vAlign w:val="center"/>
          </w:tcPr>
          <w:p w14:paraId="51D0CD9F" w14:textId="2497BB6F" w:rsidR="00A95E37" w:rsidRPr="00451488" w:rsidRDefault="00A95E37" w:rsidP="00451488">
            <w:pPr>
              <w:widowControl w:val="0"/>
              <w:tabs>
                <w:tab w:val="center" w:pos="461"/>
              </w:tabs>
              <w:suppressAutoHyphens/>
              <w:overflowPunct w:val="0"/>
              <w:autoSpaceDE w:val="0"/>
              <w:autoSpaceDN w:val="0"/>
              <w:adjustRightInd w:val="0"/>
              <w:spacing w:before="90"/>
              <w:jc w:val="center"/>
              <w:textAlignment w:val="baseline"/>
              <w:rPr>
                <w:b/>
                <w:bCs/>
                <w:sz w:val="20"/>
              </w:rPr>
            </w:pPr>
            <w:r w:rsidRPr="00451488">
              <w:rPr>
                <w:b/>
                <w:bCs/>
                <w:sz w:val="20"/>
              </w:rPr>
              <w:t>Minimum</w:t>
            </w:r>
            <w:r w:rsidR="00451488">
              <w:rPr>
                <w:b/>
                <w:bCs/>
                <w:sz w:val="20"/>
              </w:rPr>
              <w:t xml:space="preserve"> </w:t>
            </w:r>
            <w:r w:rsidRPr="00451488">
              <w:rPr>
                <w:b/>
                <w:bCs/>
                <w:sz w:val="20"/>
              </w:rPr>
              <w:t>motor</w:t>
            </w:r>
            <w:r w:rsidR="00451488">
              <w:rPr>
                <w:b/>
                <w:bCs/>
                <w:sz w:val="20"/>
              </w:rPr>
              <w:t xml:space="preserve"> </w:t>
            </w:r>
            <w:r w:rsidR="00451488">
              <w:rPr>
                <w:b/>
                <w:bCs/>
                <w:sz w:val="20"/>
              </w:rPr>
              <w:br/>
            </w:r>
            <w:r w:rsidRPr="00451488">
              <w:rPr>
                <w:b/>
                <w:bCs/>
                <w:sz w:val="20"/>
              </w:rPr>
              <w:t>hp</w:t>
            </w:r>
          </w:p>
        </w:tc>
        <w:tc>
          <w:tcPr>
            <w:tcW w:w="1181" w:type="dxa"/>
            <w:vAlign w:val="center"/>
          </w:tcPr>
          <w:p w14:paraId="526D36B6" w14:textId="01208BB9" w:rsidR="00A95E37" w:rsidRPr="00451488" w:rsidRDefault="00A95E37" w:rsidP="00451488">
            <w:pPr>
              <w:widowControl w:val="0"/>
              <w:tabs>
                <w:tab w:val="center" w:pos="417"/>
              </w:tabs>
              <w:suppressAutoHyphens/>
              <w:overflowPunct w:val="0"/>
              <w:autoSpaceDE w:val="0"/>
              <w:autoSpaceDN w:val="0"/>
              <w:adjustRightInd w:val="0"/>
              <w:spacing w:before="90" w:after="54"/>
              <w:jc w:val="center"/>
              <w:textAlignment w:val="baseline"/>
              <w:rPr>
                <w:b/>
                <w:bCs/>
                <w:sz w:val="20"/>
              </w:rPr>
            </w:pPr>
            <w:r w:rsidRPr="00451488">
              <w:rPr>
                <w:b/>
                <w:bCs/>
                <w:sz w:val="20"/>
              </w:rPr>
              <w:t>Drive</w:t>
            </w:r>
          </w:p>
        </w:tc>
      </w:tr>
      <w:tr w:rsidR="00A95E37" w:rsidRPr="00451488" w14:paraId="246A5718" w14:textId="77777777" w:rsidTr="00451488">
        <w:trPr>
          <w:jc w:val="center"/>
        </w:trPr>
        <w:tc>
          <w:tcPr>
            <w:tcW w:w="1529" w:type="dxa"/>
          </w:tcPr>
          <w:p w14:paraId="4CFAF873" w14:textId="77777777" w:rsidR="00A95E37" w:rsidRPr="00451488" w:rsidRDefault="00A95E37" w:rsidP="00451488">
            <w:pPr>
              <w:widowControl w:val="0"/>
              <w:tabs>
                <w:tab w:val="left" w:pos="-720"/>
              </w:tabs>
              <w:suppressAutoHyphens/>
              <w:overflowPunct w:val="0"/>
              <w:autoSpaceDE w:val="0"/>
              <w:autoSpaceDN w:val="0"/>
              <w:adjustRightInd w:val="0"/>
              <w:jc w:val="left"/>
              <w:textAlignment w:val="baseline"/>
              <w:rPr>
                <w:sz w:val="20"/>
              </w:rPr>
            </w:pPr>
          </w:p>
        </w:tc>
        <w:tc>
          <w:tcPr>
            <w:tcW w:w="1292" w:type="dxa"/>
          </w:tcPr>
          <w:p w14:paraId="69E49DCE" w14:textId="48BCB7D4" w:rsidR="00A95E37" w:rsidRPr="00451488" w:rsidRDefault="00A95E37" w:rsidP="00451488">
            <w:pPr>
              <w:widowControl w:val="0"/>
              <w:tabs>
                <w:tab w:val="left" w:pos="-720"/>
              </w:tabs>
              <w:suppressAutoHyphens/>
              <w:overflowPunct w:val="0"/>
              <w:autoSpaceDE w:val="0"/>
              <w:autoSpaceDN w:val="0"/>
              <w:adjustRightInd w:val="0"/>
              <w:spacing w:after="54"/>
              <w:jc w:val="left"/>
              <w:textAlignment w:val="baseline"/>
              <w:rPr>
                <w:sz w:val="20"/>
              </w:rPr>
            </w:pPr>
          </w:p>
        </w:tc>
        <w:tc>
          <w:tcPr>
            <w:tcW w:w="1304" w:type="dxa"/>
          </w:tcPr>
          <w:p w14:paraId="35498E68" w14:textId="10D3271B" w:rsidR="00A95E37" w:rsidRPr="00451488" w:rsidRDefault="00A95E37" w:rsidP="00451488">
            <w:pPr>
              <w:widowControl w:val="0"/>
              <w:tabs>
                <w:tab w:val="left" w:pos="-720"/>
              </w:tabs>
              <w:suppressAutoHyphens/>
              <w:overflowPunct w:val="0"/>
              <w:autoSpaceDE w:val="0"/>
              <w:autoSpaceDN w:val="0"/>
              <w:adjustRightInd w:val="0"/>
              <w:jc w:val="left"/>
              <w:textAlignment w:val="baseline"/>
              <w:rPr>
                <w:sz w:val="20"/>
              </w:rPr>
            </w:pPr>
          </w:p>
        </w:tc>
        <w:tc>
          <w:tcPr>
            <w:tcW w:w="1445" w:type="dxa"/>
          </w:tcPr>
          <w:p w14:paraId="78CCC1E1" w14:textId="628A4898" w:rsidR="00A95E37" w:rsidRPr="00451488" w:rsidRDefault="00A95E37" w:rsidP="00451488">
            <w:pPr>
              <w:widowControl w:val="0"/>
              <w:tabs>
                <w:tab w:val="left" w:pos="-720"/>
              </w:tabs>
              <w:suppressAutoHyphens/>
              <w:overflowPunct w:val="0"/>
              <w:autoSpaceDE w:val="0"/>
              <w:autoSpaceDN w:val="0"/>
              <w:adjustRightInd w:val="0"/>
              <w:spacing w:after="54"/>
              <w:jc w:val="left"/>
              <w:textAlignment w:val="baseline"/>
              <w:rPr>
                <w:sz w:val="20"/>
              </w:rPr>
            </w:pPr>
          </w:p>
        </w:tc>
        <w:tc>
          <w:tcPr>
            <w:tcW w:w="1399" w:type="dxa"/>
          </w:tcPr>
          <w:p w14:paraId="54E5E750" w14:textId="77777777" w:rsidR="00A95E37" w:rsidRPr="00451488" w:rsidRDefault="00A95E37" w:rsidP="00451488">
            <w:pPr>
              <w:widowControl w:val="0"/>
              <w:tabs>
                <w:tab w:val="left" w:pos="-720"/>
              </w:tabs>
              <w:suppressAutoHyphens/>
              <w:overflowPunct w:val="0"/>
              <w:autoSpaceDE w:val="0"/>
              <w:autoSpaceDN w:val="0"/>
              <w:adjustRightInd w:val="0"/>
              <w:jc w:val="left"/>
              <w:textAlignment w:val="baseline"/>
              <w:rPr>
                <w:sz w:val="20"/>
              </w:rPr>
            </w:pPr>
          </w:p>
        </w:tc>
        <w:tc>
          <w:tcPr>
            <w:tcW w:w="1194" w:type="dxa"/>
          </w:tcPr>
          <w:p w14:paraId="34A54135" w14:textId="77777777" w:rsidR="00A95E37" w:rsidRPr="00451488" w:rsidRDefault="00A95E37" w:rsidP="00451488">
            <w:pPr>
              <w:widowControl w:val="0"/>
              <w:tabs>
                <w:tab w:val="left" w:pos="-720"/>
              </w:tabs>
              <w:suppressAutoHyphens/>
              <w:overflowPunct w:val="0"/>
              <w:autoSpaceDE w:val="0"/>
              <w:autoSpaceDN w:val="0"/>
              <w:adjustRightInd w:val="0"/>
              <w:jc w:val="left"/>
              <w:textAlignment w:val="baseline"/>
              <w:rPr>
                <w:sz w:val="20"/>
              </w:rPr>
            </w:pPr>
          </w:p>
        </w:tc>
        <w:tc>
          <w:tcPr>
            <w:tcW w:w="1181" w:type="dxa"/>
          </w:tcPr>
          <w:p w14:paraId="304D66B7" w14:textId="04E71683" w:rsidR="00A95E37" w:rsidRPr="00451488" w:rsidRDefault="00A95E37" w:rsidP="00451488">
            <w:pPr>
              <w:widowControl w:val="0"/>
              <w:tabs>
                <w:tab w:val="left" w:pos="-720"/>
              </w:tabs>
              <w:suppressAutoHyphens/>
              <w:overflowPunct w:val="0"/>
              <w:autoSpaceDE w:val="0"/>
              <w:autoSpaceDN w:val="0"/>
              <w:adjustRightInd w:val="0"/>
              <w:spacing w:after="54"/>
              <w:jc w:val="left"/>
              <w:textAlignment w:val="baseline"/>
              <w:rPr>
                <w:sz w:val="20"/>
              </w:rPr>
            </w:pPr>
          </w:p>
        </w:tc>
      </w:tr>
      <w:bookmarkEnd w:id="0"/>
    </w:tbl>
    <w:p w14:paraId="767F95D2" w14:textId="77777777" w:rsidR="00451488" w:rsidRPr="00D04E50" w:rsidRDefault="00451488" w:rsidP="00451488">
      <w:pPr>
        <w:widowControl w:val="0"/>
        <w:tabs>
          <w:tab w:val="left" w:pos="0"/>
        </w:tabs>
        <w:suppressAutoHyphens/>
        <w:overflowPunct w:val="0"/>
        <w:autoSpaceDE w:val="0"/>
        <w:autoSpaceDN w:val="0"/>
        <w:adjustRightInd w:val="0"/>
        <w:spacing w:after="90"/>
        <w:textAlignment w:val="baseline"/>
      </w:pPr>
    </w:p>
    <w:p w14:paraId="5AC69718" w14:textId="0B8B7814" w:rsidR="00A95E37" w:rsidRDefault="00A95E37" w:rsidP="00A95E37">
      <w:pPr>
        <w:pStyle w:val="Heading2"/>
        <w:numPr>
          <w:ilvl w:val="1"/>
          <w:numId w:val="1"/>
        </w:numPr>
      </w:pPr>
      <w:r w:rsidRPr="00D04E50">
        <w:t>ENVIRONM</w:t>
      </w:r>
      <w:r>
        <w:t>a</w:t>
      </w:r>
      <w:r w:rsidRPr="00D04E50">
        <w:t>NTAL CONDITIONS</w:t>
      </w:r>
    </w:p>
    <w:p w14:paraId="008A5277" w14:textId="6B77CDE8" w:rsidR="00A95E37" w:rsidRPr="00A95E37" w:rsidRDefault="00A95E37" w:rsidP="00A95E37">
      <w:pPr>
        <w:pStyle w:val="Heading9"/>
        <w:rPr>
          <w:highlight w:val="yellow"/>
        </w:rPr>
      </w:pPr>
      <w:r w:rsidRPr="00A95E37">
        <w:rPr>
          <w:highlight w:val="yellow"/>
        </w:rPr>
        <w:t>[Engineer to specify]</w:t>
      </w:r>
    </w:p>
    <w:p w14:paraId="6E9A398E" w14:textId="77777777" w:rsidR="00A95E37" w:rsidRPr="00D04E50" w:rsidRDefault="00A95E37" w:rsidP="00A95E37">
      <w:pPr>
        <w:pStyle w:val="Heading2"/>
        <w:numPr>
          <w:ilvl w:val="1"/>
          <w:numId w:val="1"/>
        </w:numPr>
      </w:pPr>
      <w:r w:rsidRPr="00D04E50">
        <w:t>SUBMITTALS</w:t>
      </w:r>
    </w:p>
    <w:p w14:paraId="2D9EF0F3" w14:textId="77777777" w:rsidR="00A95E37" w:rsidRPr="00D04E50" w:rsidRDefault="00A95E37" w:rsidP="00A95E37">
      <w:pPr>
        <w:pStyle w:val="Heading3"/>
        <w:numPr>
          <w:ilvl w:val="2"/>
          <w:numId w:val="1"/>
        </w:numPr>
        <w:ind w:left="1440"/>
      </w:pPr>
      <w:r w:rsidRPr="00D04E50">
        <w:t>The following information shall be provided.</w:t>
      </w:r>
    </w:p>
    <w:p w14:paraId="058DAEA0" w14:textId="56174CE4" w:rsidR="00A95E37" w:rsidRPr="00451488" w:rsidRDefault="00A95E37" w:rsidP="00A95E37">
      <w:pPr>
        <w:pStyle w:val="Heading4"/>
        <w:rPr>
          <w:spacing w:val="-6"/>
        </w:rPr>
      </w:pPr>
      <w:r w:rsidRPr="00451488">
        <w:rPr>
          <w:spacing w:val="-6"/>
        </w:rPr>
        <w:t>Manufacturer's data including materials of construction and equipment weight.</w:t>
      </w:r>
    </w:p>
    <w:p w14:paraId="2770E567" w14:textId="4973A7A3" w:rsidR="00A95E37" w:rsidRPr="00D04E50" w:rsidRDefault="00A95E37" w:rsidP="00A95E37">
      <w:pPr>
        <w:pStyle w:val="Heading4"/>
      </w:pPr>
      <w:r w:rsidRPr="00D04E50">
        <w:t>Predicted performance curves.</w:t>
      </w:r>
      <w:r w:rsidR="00E75584">
        <w:t xml:space="preserve"> </w:t>
      </w:r>
    </w:p>
    <w:p w14:paraId="311D5984" w14:textId="77777777" w:rsidR="00A95E37" w:rsidRPr="00D04E50" w:rsidRDefault="00A95E37" w:rsidP="00A95E37">
      <w:pPr>
        <w:pStyle w:val="Heading4"/>
      </w:pPr>
      <w:r w:rsidRPr="00D04E50">
        <w:t>Motor data.</w:t>
      </w:r>
    </w:p>
    <w:p w14:paraId="4DFFE02A" w14:textId="77777777" w:rsidR="00A95E37" w:rsidRPr="00D04E50" w:rsidRDefault="00A95E37" w:rsidP="00A95E37">
      <w:pPr>
        <w:pStyle w:val="Heading4"/>
      </w:pPr>
      <w:r w:rsidRPr="00D04E50">
        <w:t>Universal joint warranty.</w:t>
      </w:r>
    </w:p>
    <w:p w14:paraId="6C478279" w14:textId="77777777" w:rsidR="00A95E37" w:rsidRPr="00D04E50" w:rsidRDefault="00A95E37" w:rsidP="00A95E37">
      <w:pPr>
        <w:pStyle w:val="Heading4"/>
      </w:pPr>
      <w:r w:rsidRPr="00D04E50">
        <w:t>A copy of this specification section with addenda updates, and all referenced sections with addenda updates, with each paragraph check marked to show specification compliance or marked to show deviations.</w:t>
      </w:r>
    </w:p>
    <w:p w14:paraId="45A10DAD" w14:textId="77777777" w:rsidR="00A95E37" w:rsidRPr="00D04E50" w:rsidRDefault="00A95E37" w:rsidP="00A95E37">
      <w:pPr>
        <w:pStyle w:val="Heading1"/>
        <w:numPr>
          <w:ilvl w:val="0"/>
          <w:numId w:val="1"/>
        </w:numPr>
      </w:pPr>
      <w:r w:rsidRPr="00D04E50">
        <w:lastRenderedPageBreak/>
        <w:t>PRODUCTS</w:t>
      </w:r>
    </w:p>
    <w:p w14:paraId="4E966EC1" w14:textId="77777777" w:rsidR="00A95E37" w:rsidRPr="00D04E50" w:rsidRDefault="00A95E37" w:rsidP="00A95E37">
      <w:pPr>
        <w:pStyle w:val="Heading2"/>
        <w:numPr>
          <w:ilvl w:val="1"/>
          <w:numId w:val="1"/>
        </w:numPr>
      </w:pPr>
      <w:r w:rsidRPr="00D04E50">
        <w:t>MATERIALS</w:t>
      </w:r>
    </w:p>
    <w:p w14:paraId="7C23B1D5" w14:textId="44B1AD05" w:rsidR="00A95E37" w:rsidRPr="00D04E50" w:rsidRDefault="00A95E37" w:rsidP="00A95E37">
      <w:pPr>
        <w:widowControl w:val="0"/>
        <w:tabs>
          <w:tab w:val="left" w:pos="-720"/>
          <w:tab w:val="left" w:pos="0"/>
        </w:tabs>
        <w:suppressAutoHyphens/>
        <w:overflowPunct w:val="0"/>
        <w:autoSpaceDE w:val="0"/>
        <w:autoSpaceDN w:val="0"/>
        <w:adjustRightInd w:val="0"/>
        <w:spacing w:after="90"/>
        <w:ind w:left="720" w:hanging="720"/>
        <w:textAlignment w:val="baseline"/>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20" w:type="dxa"/>
          <w:right w:w="120" w:type="dxa"/>
        </w:tblCellMar>
        <w:tblLook w:val="0000" w:firstRow="0" w:lastRow="0" w:firstColumn="0" w:lastColumn="0" w:noHBand="0" w:noVBand="0"/>
      </w:tblPr>
      <w:tblGrid>
        <w:gridCol w:w="4672"/>
        <w:gridCol w:w="4672"/>
      </w:tblGrid>
      <w:tr w:rsidR="00A95E37" w:rsidRPr="00451488" w14:paraId="4A971BDD" w14:textId="77777777" w:rsidTr="00451488">
        <w:trPr>
          <w:tblHeader/>
          <w:jc w:val="center"/>
        </w:trPr>
        <w:tc>
          <w:tcPr>
            <w:tcW w:w="4672" w:type="dxa"/>
            <w:vAlign w:val="center"/>
          </w:tcPr>
          <w:p w14:paraId="006A42C7" w14:textId="2EFDF11D" w:rsidR="00A95E37" w:rsidRPr="00451488" w:rsidRDefault="00A95E37" w:rsidP="00451488">
            <w:pPr>
              <w:widowControl w:val="0"/>
              <w:tabs>
                <w:tab w:val="center" w:pos="914"/>
              </w:tabs>
              <w:suppressAutoHyphens/>
              <w:overflowPunct w:val="0"/>
              <w:autoSpaceDE w:val="0"/>
              <w:autoSpaceDN w:val="0"/>
              <w:adjustRightInd w:val="0"/>
              <w:spacing w:before="90" w:after="54"/>
              <w:jc w:val="center"/>
              <w:textAlignment w:val="baseline"/>
              <w:rPr>
                <w:b/>
                <w:bCs/>
                <w:sz w:val="20"/>
              </w:rPr>
            </w:pPr>
            <w:r w:rsidRPr="00451488">
              <w:rPr>
                <w:b/>
                <w:bCs/>
                <w:sz w:val="20"/>
              </w:rPr>
              <w:fldChar w:fldCharType="begin"/>
            </w:r>
            <w:r w:rsidRPr="00451488">
              <w:rPr>
                <w:b/>
                <w:bCs/>
                <w:sz w:val="20"/>
              </w:rPr>
              <w:instrText xml:space="preserve">PRIVATE </w:instrText>
            </w:r>
            <w:r w:rsidRPr="00451488">
              <w:rPr>
                <w:b/>
                <w:bCs/>
                <w:sz w:val="20"/>
              </w:rPr>
              <w:fldChar w:fldCharType="end"/>
            </w:r>
            <w:r w:rsidR="00451488">
              <w:rPr>
                <w:b/>
                <w:bCs/>
                <w:sz w:val="20"/>
              </w:rPr>
              <w:t xml:space="preserve"> </w:t>
            </w:r>
            <w:r w:rsidRPr="00451488">
              <w:rPr>
                <w:b/>
                <w:bCs/>
                <w:sz w:val="20"/>
              </w:rPr>
              <w:t>Component</w:t>
            </w:r>
          </w:p>
        </w:tc>
        <w:tc>
          <w:tcPr>
            <w:tcW w:w="4672" w:type="dxa"/>
            <w:vAlign w:val="center"/>
          </w:tcPr>
          <w:p w14:paraId="07906C4B" w14:textId="5F17B302" w:rsidR="00A95E37" w:rsidRPr="00451488" w:rsidRDefault="00A95E37" w:rsidP="00451488">
            <w:pPr>
              <w:widowControl w:val="0"/>
              <w:tabs>
                <w:tab w:val="center" w:pos="1542"/>
              </w:tabs>
              <w:suppressAutoHyphens/>
              <w:overflowPunct w:val="0"/>
              <w:autoSpaceDE w:val="0"/>
              <w:autoSpaceDN w:val="0"/>
              <w:adjustRightInd w:val="0"/>
              <w:spacing w:before="90" w:after="54"/>
              <w:jc w:val="center"/>
              <w:textAlignment w:val="baseline"/>
              <w:rPr>
                <w:b/>
                <w:bCs/>
                <w:sz w:val="20"/>
              </w:rPr>
            </w:pPr>
            <w:r w:rsidRPr="00451488">
              <w:rPr>
                <w:b/>
                <w:bCs/>
                <w:sz w:val="20"/>
              </w:rPr>
              <w:t>Material</w:t>
            </w:r>
          </w:p>
        </w:tc>
      </w:tr>
      <w:tr w:rsidR="00A95E37" w:rsidRPr="00451488" w14:paraId="27B413BF" w14:textId="77777777" w:rsidTr="00451488">
        <w:trPr>
          <w:jc w:val="center"/>
        </w:trPr>
        <w:tc>
          <w:tcPr>
            <w:tcW w:w="4672" w:type="dxa"/>
          </w:tcPr>
          <w:p w14:paraId="2214CF7B" w14:textId="2B3B4CE3" w:rsidR="00A95E37" w:rsidRPr="00451488" w:rsidRDefault="00A95E37" w:rsidP="00451488">
            <w:pPr>
              <w:widowControl w:val="0"/>
              <w:tabs>
                <w:tab w:val="center" w:pos="914"/>
              </w:tabs>
              <w:suppressAutoHyphens/>
              <w:overflowPunct w:val="0"/>
              <w:autoSpaceDE w:val="0"/>
              <w:autoSpaceDN w:val="0"/>
              <w:adjustRightInd w:val="0"/>
              <w:spacing w:before="90" w:after="54"/>
              <w:jc w:val="left"/>
              <w:textAlignment w:val="baseline"/>
              <w:rPr>
                <w:sz w:val="20"/>
              </w:rPr>
            </w:pPr>
            <w:r w:rsidRPr="00451488">
              <w:rPr>
                <w:sz w:val="20"/>
              </w:rPr>
              <w:t>Rotor</w:t>
            </w:r>
          </w:p>
        </w:tc>
        <w:tc>
          <w:tcPr>
            <w:tcW w:w="4672" w:type="dxa"/>
          </w:tcPr>
          <w:p w14:paraId="136869EB" w14:textId="6D1E86D5" w:rsidR="00A95E37" w:rsidRPr="00451488" w:rsidRDefault="00A95E37" w:rsidP="00451488">
            <w:pPr>
              <w:widowControl w:val="0"/>
              <w:tabs>
                <w:tab w:val="left" w:pos="-720"/>
              </w:tabs>
              <w:suppressAutoHyphens/>
              <w:overflowPunct w:val="0"/>
              <w:autoSpaceDE w:val="0"/>
              <w:autoSpaceDN w:val="0"/>
              <w:adjustRightInd w:val="0"/>
              <w:spacing w:before="90" w:after="54"/>
              <w:jc w:val="left"/>
              <w:textAlignment w:val="baseline"/>
              <w:rPr>
                <w:sz w:val="20"/>
              </w:rPr>
            </w:pPr>
          </w:p>
        </w:tc>
      </w:tr>
      <w:tr w:rsidR="00A95E37" w:rsidRPr="00451488" w14:paraId="306E5D62" w14:textId="77777777" w:rsidTr="00451488">
        <w:trPr>
          <w:jc w:val="center"/>
        </w:trPr>
        <w:tc>
          <w:tcPr>
            <w:tcW w:w="4672" w:type="dxa"/>
          </w:tcPr>
          <w:p w14:paraId="426642C7" w14:textId="1D016F4B" w:rsidR="00A95E37" w:rsidRPr="00451488" w:rsidRDefault="00A95E37" w:rsidP="00451488">
            <w:pPr>
              <w:widowControl w:val="0"/>
              <w:tabs>
                <w:tab w:val="center" w:pos="914"/>
              </w:tabs>
              <w:suppressAutoHyphens/>
              <w:overflowPunct w:val="0"/>
              <w:autoSpaceDE w:val="0"/>
              <w:autoSpaceDN w:val="0"/>
              <w:adjustRightInd w:val="0"/>
              <w:spacing w:before="90" w:after="54"/>
              <w:jc w:val="left"/>
              <w:textAlignment w:val="baseline"/>
              <w:rPr>
                <w:sz w:val="20"/>
              </w:rPr>
            </w:pPr>
            <w:r w:rsidRPr="00451488">
              <w:rPr>
                <w:sz w:val="20"/>
              </w:rPr>
              <w:t>Stator</w:t>
            </w:r>
          </w:p>
        </w:tc>
        <w:tc>
          <w:tcPr>
            <w:tcW w:w="4672" w:type="dxa"/>
          </w:tcPr>
          <w:p w14:paraId="681CB591" w14:textId="50AF7035" w:rsidR="00A95E37" w:rsidRPr="00451488" w:rsidRDefault="00A95E37" w:rsidP="00451488">
            <w:pPr>
              <w:widowControl w:val="0"/>
              <w:tabs>
                <w:tab w:val="center" w:pos="1542"/>
              </w:tabs>
              <w:suppressAutoHyphens/>
              <w:overflowPunct w:val="0"/>
              <w:autoSpaceDE w:val="0"/>
              <w:autoSpaceDN w:val="0"/>
              <w:adjustRightInd w:val="0"/>
              <w:spacing w:before="90" w:after="54"/>
              <w:jc w:val="left"/>
              <w:textAlignment w:val="baseline"/>
              <w:rPr>
                <w:sz w:val="20"/>
              </w:rPr>
            </w:pPr>
          </w:p>
        </w:tc>
      </w:tr>
      <w:tr w:rsidR="00A95E37" w:rsidRPr="00451488" w14:paraId="013CEC79" w14:textId="77777777" w:rsidTr="00451488">
        <w:trPr>
          <w:jc w:val="center"/>
        </w:trPr>
        <w:tc>
          <w:tcPr>
            <w:tcW w:w="4672" w:type="dxa"/>
          </w:tcPr>
          <w:p w14:paraId="15014D0C" w14:textId="5B174704" w:rsidR="00A95E37" w:rsidRPr="00451488" w:rsidRDefault="00A95E37" w:rsidP="00451488">
            <w:pPr>
              <w:widowControl w:val="0"/>
              <w:tabs>
                <w:tab w:val="center" w:pos="914"/>
              </w:tabs>
              <w:suppressAutoHyphens/>
              <w:overflowPunct w:val="0"/>
              <w:autoSpaceDE w:val="0"/>
              <w:autoSpaceDN w:val="0"/>
              <w:adjustRightInd w:val="0"/>
              <w:spacing w:before="90" w:after="54"/>
              <w:jc w:val="left"/>
              <w:textAlignment w:val="baseline"/>
              <w:rPr>
                <w:sz w:val="20"/>
              </w:rPr>
            </w:pPr>
            <w:r w:rsidRPr="00451488">
              <w:rPr>
                <w:sz w:val="20"/>
              </w:rPr>
              <w:t>Pump Body</w:t>
            </w:r>
          </w:p>
        </w:tc>
        <w:tc>
          <w:tcPr>
            <w:tcW w:w="4672" w:type="dxa"/>
          </w:tcPr>
          <w:p w14:paraId="6DF59408" w14:textId="7A51035A" w:rsidR="00A95E37" w:rsidRPr="00451488" w:rsidRDefault="00A95E37" w:rsidP="00451488">
            <w:pPr>
              <w:widowControl w:val="0"/>
              <w:tabs>
                <w:tab w:val="center" w:pos="1542"/>
              </w:tabs>
              <w:suppressAutoHyphens/>
              <w:overflowPunct w:val="0"/>
              <w:autoSpaceDE w:val="0"/>
              <w:autoSpaceDN w:val="0"/>
              <w:adjustRightInd w:val="0"/>
              <w:spacing w:before="90" w:after="54"/>
              <w:jc w:val="left"/>
              <w:textAlignment w:val="baseline"/>
              <w:rPr>
                <w:sz w:val="20"/>
              </w:rPr>
            </w:pPr>
          </w:p>
        </w:tc>
      </w:tr>
      <w:tr w:rsidR="00A95E37" w:rsidRPr="00451488" w14:paraId="13D46684" w14:textId="77777777" w:rsidTr="00451488">
        <w:trPr>
          <w:jc w:val="center"/>
        </w:trPr>
        <w:tc>
          <w:tcPr>
            <w:tcW w:w="4672" w:type="dxa"/>
          </w:tcPr>
          <w:p w14:paraId="19489149" w14:textId="77777777" w:rsidR="00A95E37" w:rsidRPr="00451488" w:rsidRDefault="00A95E37" w:rsidP="00451488">
            <w:pPr>
              <w:widowControl w:val="0"/>
              <w:tabs>
                <w:tab w:val="left" w:pos="-720"/>
              </w:tabs>
              <w:suppressAutoHyphens/>
              <w:overflowPunct w:val="0"/>
              <w:autoSpaceDE w:val="0"/>
              <w:autoSpaceDN w:val="0"/>
              <w:adjustRightInd w:val="0"/>
              <w:spacing w:before="90" w:after="54"/>
              <w:jc w:val="left"/>
              <w:textAlignment w:val="baseline"/>
              <w:rPr>
                <w:sz w:val="20"/>
              </w:rPr>
            </w:pPr>
            <w:r w:rsidRPr="00451488">
              <w:rPr>
                <w:sz w:val="20"/>
              </w:rPr>
              <w:t>Shaft Sealing</w:t>
            </w:r>
          </w:p>
        </w:tc>
        <w:tc>
          <w:tcPr>
            <w:tcW w:w="4672" w:type="dxa"/>
          </w:tcPr>
          <w:p w14:paraId="1371E7C0" w14:textId="77777777" w:rsidR="00A95E37" w:rsidRPr="00451488" w:rsidRDefault="00A95E37" w:rsidP="00451488">
            <w:pPr>
              <w:widowControl w:val="0"/>
              <w:tabs>
                <w:tab w:val="center" w:pos="1542"/>
              </w:tabs>
              <w:suppressAutoHyphens/>
              <w:overflowPunct w:val="0"/>
              <w:autoSpaceDE w:val="0"/>
              <w:autoSpaceDN w:val="0"/>
              <w:adjustRightInd w:val="0"/>
              <w:spacing w:after="54"/>
              <w:jc w:val="left"/>
              <w:textAlignment w:val="baseline"/>
              <w:rPr>
                <w:sz w:val="20"/>
              </w:rPr>
            </w:pPr>
          </w:p>
        </w:tc>
      </w:tr>
    </w:tbl>
    <w:p w14:paraId="123410F2" w14:textId="77777777" w:rsidR="00451488" w:rsidRPr="00D04E50" w:rsidRDefault="00451488" w:rsidP="00451488">
      <w:pPr>
        <w:widowControl w:val="0"/>
        <w:tabs>
          <w:tab w:val="left" w:pos="-720"/>
          <w:tab w:val="left" w:pos="0"/>
        </w:tabs>
        <w:suppressAutoHyphens/>
        <w:overflowPunct w:val="0"/>
        <w:autoSpaceDE w:val="0"/>
        <w:autoSpaceDN w:val="0"/>
        <w:adjustRightInd w:val="0"/>
        <w:spacing w:after="90"/>
        <w:ind w:left="720" w:hanging="720"/>
        <w:textAlignment w:val="baseline"/>
      </w:pPr>
    </w:p>
    <w:p w14:paraId="566D82CC" w14:textId="288EA6C8" w:rsidR="00A95E37" w:rsidRPr="00A95E37" w:rsidRDefault="00A95E37" w:rsidP="00A95E37">
      <w:pPr>
        <w:pStyle w:val="Heading9"/>
        <w:rPr>
          <w:highlight w:val="yellow"/>
        </w:rPr>
      </w:pPr>
      <w:r w:rsidRPr="00D04E50">
        <w:tab/>
      </w:r>
      <w:r w:rsidRPr="00A95E37">
        <w:rPr>
          <w:highlight w:val="yellow"/>
        </w:rPr>
        <w:t>[Engineer to specify requirements above]</w:t>
      </w:r>
    </w:p>
    <w:p w14:paraId="423FAE14" w14:textId="77777777" w:rsidR="00A95E37" w:rsidRPr="00D04E50" w:rsidRDefault="00A95E37" w:rsidP="00A95E37">
      <w:pPr>
        <w:pStyle w:val="Heading2"/>
        <w:numPr>
          <w:ilvl w:val="1"/>
          <w:numId w:val="1"/>
        </w:numPr>
      </w:pPr>
      <w:r w:rsidRPr="00D04E50">
        <w:t>EQUIPMENT</w:t>
      </w:r>
    </w:p>
    <w:p w14:paraId="20060EE2" w14:textId="6ECC6759" w:rsidR="00A95E37" w:rsidRPr="00D04E50" w:rsidRDefault="00451488" w:rsidP="00A95E37">
      <w:pPr>
        <w:pStyle w:val="Heading3"/>
        <w:numPr>
          <w:ilvl w:val="2"/>
          <w:numId w:val="1"/>
        </w:numPr>
        <w:ind w:left="1440"/>
      </w:pPr>
      <w:r w:rsidRPr="00451488">
        <w:rPr>
          <w:b/>
          <w:bCs/>
        </w:rPr>
        <w:t xml:space="preserve">Rotor </w:t>
      </w:r>
      <w:r>
        <w:rPr>
          <w:b/>
          <w:bCs/>
        </w:rPr>
        <w:t>a</w:t>
      </w:r>
      <w:r w:rsidRPr="00451488">
        <w:rPr>
          <w:b/>
          <w:bCs/>
        </w:rPr>
        <w:t>nd Stator:</w:t>
      </w:r>
      <w:r>
        <w:t xml:space="preserve"> </w:t>
      </w:r>
      <w:r w:rsidR="00A95E37" w:rsidRPr="00D04E50">
        <w:t>Each pump shall be a one stage design employing a convoluted rotor operating in a similarly convoluted stator. The convolutions shall be configured to form a cavity between the rotor and stator, which shall progress from the pump's inlet to discharge port with the operation of the rotor.</w:t>
      </w:r>
      <w:r w:rsidR="00E75584">
        <w:t xml:space="preserve"> </w:t>
      </w:r>
      <w:r w:rsidR="00A95E37" w:rsidRPr="00D04E50">
        <w:t>The fit between the rotor and stator at the point of contact shall compress the stator material sufficiently to form a seal and to prevent leakage from the discharge back to the inlet end of the pumping chamber. Stators for sludge pumps shall have Buna elastomer. The sludge pump rotors shall be constructed of hardened tool steel. Additionally, the sludge pump rotors shall have a chromium nitride coating (</w:t>
      </w:r>
      <w:proofErr w:type="spellStart"/>
      <w:r w:rsidR="00A95E37" w:rsidRPr="00D04E50">
        <w:t>Duktil</w:t>
      </w:r>
      <w:proofErr w:type="spellEnd"/>
      <w:r w:rsidR="00A95E37" w:rsidRPr="00D04E50">
        <w:t xml:space="preserve"> process) or hard chrome plating</w:t>
      </w:r>
      <w:r w:rsidR="00A95E37">
        <w:rPr>
          <w:strike/>
          <w:color w:val="FF0000"/>
        </w:rPr>
        <w:t xml:space="preserve"> </w:t>
      </w:r>
      <w:r w:rsidR="00A95E37" w:rsidRPr="00D04E50">
        <w:t>with a minimum thickness of (.0108").</w:t>
      </w:r>
      <w:r w:rsidR="00E75584">
        <w:t xml:space="preserve"> </w:t>
      </w:r>
    </w:p>
    <w:p w14:paraId="2375B0DF" w14:textId="62B5FF26" w:rsidR="00A95E37" w:rsidRPr="00D04E50" w:rsidRDefault="00A95E37" w:rsidP="00A95E37">
      <w:pPr>
        <w:pStyle w:val="Heading4"/>
      </w:pPr>
      <w:r w:rsidRPr="00D04E50">
        <w:t xml:space="preserve">Stators shall be replaceable without dismantling the pump suction or discharge flanges or any associated piping. Pumps that require additional space for axial/horizontal removal of the stator shall not be allowed. </w:t>
      </w:r>
    </w:p>
    <w:p w14:paraId="750F1A66" w14:textId="77777777" w:rsidR="00A95E37" w:rsidRPr="00D04E50" w:rsidRDefault="00A95E37" w:rsidP="00A95E37">
      <w:pPr>
        <w:pStyle w:val="Heading4"/>
      </w:pPr>
      <w:r w:rsidRPr="00D04E50">
        <w:t xml:space="preserve">Rotors shall be replaceable without dismantling the pump suction or discharge flanges or associated piping. Pumps that require additional space for axial/horizontal removal of the rotor shall not be allowed. The rotor design shall include provisions so that rotor replacement does not require the disassembly of either universal joint. </w:t>
      </w:r>
    </w:p>
    <w:p w14:paraId="5F74AE85" w14:textId="418DAF4D" w:rsidR="00A95E37" w:rsidRPr="00D04E50" w:rsidRDefault="00A95E37" w:rsidP="00A95E37">
      <w:pPr>
        <w:pStyle w:val="Heading4"/>
      </w:pPr>
      <w:r w:rsidRPr="00D04E50">
        <w:t xml:space="preserve">The pump’s stator shall be formed from a single piece Buna-n rubber sleeve inside a </w:t>
      </w:r>
      <w:proofErr w:type="gramStart"/>
      <w:r w:rsidRPr="00D04E50">
        <w:t>two piece</w:t>
      </w:r>
      <w:proofErr w:type="gramEnd"/>
      <w:r w:rsidRPr="00D04E50">
        <w:t xml:space="preserve"> extruded aluminum shell.</w:t>
      </w:r>
      <w:r w:rsidR="00E75584">
        <w:t xml:space="preserve"> </w:t>
      </w:r>
    </w:p>
    <w:p w14:paraId="1A57FAB6" w14:textId="32D12203" w:rsidR="00A95E37" w:rsidRPr="00D04E50" w:rsidRDefault="00A95E37" w:rsidP="00A95E37">
      <w:pPr>
        <w:pStyle w:val="Heading4"/>
      </w:pPr>
      <w:r w:rsidRPr="00D04E50">
        <w:t>The stator shall be affixed to the suction casing by the use of four (4) thru-bolts for easy removal and replacement.</w:t>
      </w:r>
      <w:r w:rsidR="00E75584">
        <w:t xml:space="preserve"> </w:t>
      </w:r>
      <w:r w:rsidRPr="00D04E50">
        <w:t>Stators shall not be affixed to the suction casing by threaded connections or by snap rings.</w:t>
      </w:r>
      <w:r w:rsidR="00E75584">
        <w:t xml:space="preserve"> </w:t>
      </w:r>
      <w:r w:rsidRPr="00D04E50">
        <w:t>The suction edge of the stator shall be chamfered to allow for unrestricted flow into the pumping elements.</w:t>
      </w:r>
      <w:r w:rsidR="00E75584">
        <w:t xml:space="preserve"> </w:t>
      </w:r>
    </w:p>
    <w:p w14:paraId="3C39DC27" w14:textId="77777777" w:rsidR="00A95E37" w:rsidRPr="00D04E50" w:rsidRDefault="00A95E37" w:rsidP="00A95E37">
      <w:pPr>
        <w:pStyle w:val="Heading4"/>
      </w:pPr>
      <w:r w:rsidRPr="00D04E50">
        <w:t xml:space="preserve">Stator designs that limit nominal pump pressure capability to less than 90 PSI per stage hall </w:t>
      </w:r>
      <w:proofErr w:type="gramStart"/>
      <w:r w:rsidRPr="00D04E50">
        <w:t>not be</w:t>
      </w:r>
      <w:proofErr w:type="gramEnd"/>
      <w:r w:rsidRPr="00D04E50">
        <w:t xml:space="preserve"> acceptable. Split stators are not acceptable as they can leak.</w:t>
      </w:r>
    </w:p>
    <w:p w14:paraId="12BF9B50" w14:textId="44985662" w:rsidR="00A95E37" w:rsidRPr="00D04E50" w:rsidRDefault="00451488" w:rsidP="00A95E37">
      <w:pPr>
        <w:pStyle w:val="Heading3"/>
        <w:numPr>
          <w:ilvl w:val="2"/>
          <w:numId w:val="1"/>
        </w:numPr>
        <w:ind w:left="1440"/>
      </w:pPr>
      <w:r w:rsidRPr="00451488">
        <w:rPr>
          <w:b/>
          <w:bCs/>
        </w:rPr>
        <w:lastRenderedPageBreak/>
        <w:t>Drive Train:</w:t>
      </w:r>
      <w:r>
        <w:t xml:space="preserve"> </w:t>
      </w:r>
      <w:r w:rsidR="00A95E37" w:rsidRPr="00D04E50">
        <w:t>The drive train shall be warranted for one (1) year from acceptance and shall consist of the following:</w:t>
      </w:r>
    </w:p>
    <w:p w14:paraId="71863261" w14:textId="497B3D48" w:rsidR="00A95E37" w:rsidRPr="00D04E50" w:rsidRDefault="00A95E37" w:rsidP="00A95E37">
      <w:pPr>
        <w:pStyle w:val="Heading4"/>
      </w:pPr>
      <w:r w:rsidRPr="00D04E50">
        <w:t>Each pump rotor shall be driven through a positively sealed and lubricated pin joint.</w:t>
      </w:r>
      <w:r w:rsidR="00E75584">
        <w:t xml:space="preserve"> </w:t>
      </w:r>
      <w:r w:rsidRPr="00D04E50">
        <w:t xml:space="preserve">The pin joint shall have replaceable bushings, constructed of air-hardened tool steel of 57-60 </w:t>
      </w:r>
      <w:proofErr w:type="spellStart"/>
      <w:r w:rsidRPr="00D04E50">
        <w:t>HRc</w:t>
      </w:r>
      <w:proofErr w:type="spellEnd"/>
      <w:r w:rsidRPr="00D04E50">
        <w:t>, in the rotor head and coupling rod.</w:t>
      </w:r>
      <w:r w:rsidR="00E75584">
        <w:t xml:space="preserve"> </w:t>
      </w:r>
      <w:r w:rsidRPr="00D04E50">
        <w:t xml:space="preserve">The pin shall be constructed of </w:t>
      </w:r>
      <w:proofErr w:type="gramStart"/>
      <w:r w:rsidRPr="00D04E50">
        <w:t>high speed</w:t>
      </w:r>
      <w:proofErr w:type="gramEnd"/>
      <w:r w:rsidRPr="00D04E50">
        <w:t xml:space="preserve"> steel, air hardened to 60-65 </w:t>
      </w:r>
      <w:proofErr w:type="spellStart"/>
      <w:r w:rsidRPr="00D04E50">
        <w:t>HRc</w:t>
      </w:r>
      <w:proofErr w:type="spellEnd"/>
      <w:r w:rsidRPr="00D04E50">
        <w:t>.</w:t>
      </w:r>
      <w:r w:rsidR="00E75584">
        <w:t xml:space="preserve"> </w:t>
      </w:r>
      <w:r w:rsidRPr="00D04E50">
        <w:t>The joint shall be oil or grease lubricated with a high temperature (450</w:t>
      </w:r>
      <w:r w:rsidRPr="00D04E50">
        <w:rPr>
          <w:szCs w:val="22"/>
        </w:rPr>
        <w:sym w:font="Symbol" w:char="F0B0"/>
      </w:r>
      <w:r w:rsidRPr="00D04E50">
        <w:t xml:space="preserve"> F), PTFE filled synthetic grease, </w:t>
      </w:r>
    </w:p>
    <w:p w14:paraId="44479A57" w14:textId="26DDF7C4" w:rsidR="00A95E37" w:rsidRPr="00D04E50" w:rsidRDefault="00A95E37" w:rsidP="00A95E37">
      <w:pPr>
        <w:pStyle w:val="Heading4"/>
      </w:pPr>
      <w:r w:rsidRPr="00D04E50">
        <w:t>To optimize seal and pin joint life, the connecting rod shall be of sufficient length to maintain its operating angle within 1 degree.</w:t>
      </w:r>
      <w:r w:rsidR="00E75584">
        <w:t xml:space="preserve"> </w:t>
      </w:r>
    </w:p>
    <w:p w14:paraId="09F8D30D" w14:textId="1B352257" w:rsidR="00A95E37" w:rsidRPr="00451488" w:rsidRDefault="00451488" w:rsidP="00A95E37">
      <w:pPr>
        <w:pStyle w:val="Heading3"/>
        <w:numPr>
          <w:ilvl w:val="2"/>
          <w:numId w:val="1"/>
        </w:numPr>
        <w:ind w:left="1440"/>
        <w:rPr>
          <w:spacing w:val="-6"/>
        </w:rPr>
      </w:pPr>
      <w:r w:rsidRPr="00451488">
        <w:rPr>
          <w:b/>
          <w:bCs/>
          <w:spacing w:val="-6"/>
        </w:rPr>
        <w:t>Casings:</w:t>
      </w:r>
      <w:r w:rsidRPr="00451488">
        <w:rPr>
          <w:spacing w:val="-6"/>
        </w:rPr>
        <w:t xml:space="preserve"> </w:t>
      </w:r>
      <w:r w:rsidR="00A95E37" w:rsidRPr="00451488">
        <w:rPr>
          <w:spacing w:val="-6"/>
        </w:rPr>
        <w:t>A 125-pound (ANSI B16.5 RF) flanged connection shall be provided at both the inlet and discharge ports.</w:t>
      </w:r>
      <w:r w:rsidR="00E75584" w:rsidRPr="00451488">
        <w:rPr>
          <w:spacing w:val="-6"/>
        </w:rPr>
        <w:t xml:space="preserve"> </w:t>
      </w:r>
      <w:r w:rsidR="00A95E37" w:rsidRPr="00451488">
        <w:rPr>
          <w:spacing w:val="-6"/>
        </w:rPr>
        <w:t>The suction casing shall employ two opposed cleanout openings to facilitate removal of debris without dismantling the pump or pipework.</w:t>
      </w:r>
    </w:p>
    <w:p w14:paraId="29C54C3A" w14:textId="77777777" w:rsidR="00A95E37" w:rsidRPr="00D04E50" w:rsidRDefault="00A95E37" w:rsidP="00A95E37">
      <w:pPr>
        <w:pStyle w:val="Heading4"/>
      </w:pPr>
      <w:r w:rsidRPr="00D04E50">
        <w:t>The casing shall have multiple ¾” NPT connection for vents, drains, and gauges. The connections shall be at the highest and lowest point of the housing regardless of suction orientation.</w:t>
      </w:r>
    </w:p>
    <w:p w14:paraId="110A10E2" w14:textId="131EAD14" w:rsidR="00A95E37" w:rsidRPr="00D04E50" w:rsidRDefault="00451488" w:rsidP="00A95E37">
      <w:pPr>
        <w:pStyle w:val="Heading3"/>
        <w:numPr>
          <w:ilvl w:val="2"/>
          <w:numId w:val="1"/>
        </w:numPr>
        <w:ind w:left="1440"/>
      </w:pPr>
      <w:r w:rsidRPr="00451488">
        <w:rPr>
          <w:b/>
          <w:bCs/>
        </w:rPr>
        <w:t>Bearings:</w:t>
      </w:r>
      <w:r>
        <w:t xml:space="preserve"> </w:t>
      </w:r>
      <w:r w:rsidR="00A95E37" w:rsidRPr="00D04E50">
        <w:t xml:space="preserve">Each pump shall be provided with oil lubricated thrust and radial bearings, located in the gearmotor, designed for all loads imposed by the specified service. Minimum bearing L-10 shall be 50,000 hrs. </w:t>
      </w:r>
    </w:p>
    <w:p w14:paraId="4A367056" w14:textId="643B05E3" w:rsidR="00A95E37" w:rsidRPr="00D04E50" w:rsidRDefault="00451488" w:rsidP="00A95E37">
      <w:pPr>
        <w:pStyle w:val="Heading3"/>
        <w:numPr>
          <w:ilvl w:val="2"/>
          <w:numId w:val="1"/>
        </w:numPr>
        <w:ind w:left="1440"/>
      </w:pPr>
      <w:r w:rsidRPr="00451488">
        <w:rPr>
          <w:b/>
          <w:bCs/>
        </w:rPr>
        <w:t>Shaft Sealing:</w:t>
      </w:r>
      <w:r w:rsidRPr="00D04E50">
        <w:t xml:space="preserve"> </w:t>
      </w:r>
      <w:r w:rsidR="00A95E37" w:rsidRPr="00D04E50">
        <w:t>Shaft shall be sealed using a single internal mechanical seal as specified in Section 2.02.</w:t>
      </w:r>
      <w:r w:rsidR="00E75584">
        <w:t xml:space="preserve"> </w:t>
      </w:r>
      <w:r w:rsidR="00A95E37" w:rsidRPr="00D04E50">
        <w:t xml:space="preserve">The shaft shall be solid through the sealing area, but of a </w:t>
      </w:r>
      <w:proofErr w:type="gramStart"/>
      <w:r w:rsidR="00A95E37" w:rsidRPr="00D04E50">
        <w:t>two part</w:t>
      </w:r>
      <w:proofErr w:type="gramEnd"/>
      <w:r w:rsidR="00A95E37" w:rsidRPr="00D04E50">
        <w:t xml:space="preserve"> design which allows the rotating unit to be removed from the pump without disassembly of the gearmotor bearings. Seal materials shall be solid silicon carbide faces with 316 stainless steel metal parts and </w:t>
      </w:r>
      <w:proofErr w:type="spellStart"/>
      <w:r w:rsidR="00A95E37" w:rsidRPr="00D04E50">
        <w:t>viton</w:t>
      </w:r>
      <w:proofErr w:type="spellEnd"/>
      <w:r w:rsidR="00A95E37" w:rsidRPr="00D04E50">
        <w:t xml:space="preserve"> elastomers.</w:t>
      </w:r>
    </w:p>
    <w:p w14:paraId="258082F6" w14:textId="16D68DD1" w:rsidR="00A95E37" w:rsidRPr="00451488" w:rsidRDefault="00451488" w:rsidP="00A95E37">
      <w:pPr>
        <w:pStyle w:val="Heading3"/>
        <w:numPr>
          <w:ilvl w:val="2"/>
          <w:numId w:val="1"/>
        </w:numPr>
        <w:ind w:left="1440"/>
        <w:rPr>
          <w:b/>
          <w:bCs/>
        </w:rPr>
      </w:pPr>
      <w:r w:rsidRPr="00451488">
        <w:rPr>
          <w:b/>
          <w:bCs/>
        </w:rPr>
        <w:t xml:space="preserve">Motor </w:t>
      </w:r>
      <w:r>
        <w:rPr>
          <w:b/>
          <w:bCs/>
        </w:rPr>
        <w:t>a</w:t>
      </w:r>
      <w:r w:rsidRPr="00451488">
        <w:rPr>
          <w:b/>
          <w:bCs/>
        </w:rPr>
        <w:t>nd Drive Unit:</w:t>
      </w:r>
    </w:p>
    <w:p w14:paraId="4E2CEA89" w14:textId="15580F98" w:rsidR="00A95E37" w:rsidRPr="00D04E50" w:rsidRDefault="00A95E37" w:rsidP="00A95E37">
      <w:pPr>
        <w:pStyle w:val="Heading4"/>
      </w:pPr>
      <w:r w:rsidRPr="00D04E50">
        <w:t>Gear motors or gear reducers shall be designed in accordance with AGMA 6019-E (Class II).</w:t>
      </w:r>
      <w:r w:rsidR="00E75584">
        <w:t xml:space="preserve"> </w:t>
      </w:r>
      <w:r w:rsidRPr="00D04E50">
        <w:t xml:space="preserve">Unless otherwise noted, motors shall be </w:t>
      </w:r>
      <w:proofErr w:type="gramStart"/>
      <w:r w:rsidRPr="00D04E50">
        <w:t>energy-efficient</w:t>
      </w:r>
      <w:proofErr w:type="gramEnd"/>
      <w:r w:rsidRPr="00D04E50">
        <w:t>, TEFC motors.</w:t>
      </w:r>
    </w:p>
    <w:p w14:paraId="2C2E7B70" w14:textId="15B31AF2" w:rsidR="00A95E37" w:rsidRPr="00D04E50" w:rsidRDefault="00A95E37" w:rsidP="00A95E37">
      <w:pPr>
        <w:pStyle w:val="Heading4"/>
      </w:pPr>
      <w:r w:rsidRPr="00D04E50">
        <w:t>Pumps that require variable frequency drives (VFDs) are noted in paragraph 1.01 E. VFDs shall be constant torque type.</w:t>
      </w:r>
      <w:r w:rsidR="00E75584">
        <w:t xml:space="preserve"> </w:t>
      </w:r>
      <w:r w:rsidRPr="00D04E50">
        <w:t>For VFD-driven units, the pump supplier shall be responsible for the provision of the fixed reduction between the motor and pump.</w:t>
      </w:r>
      <w:r w:rsidR="00E75584">
        <w:t xml:space="preserve"> </w:t>
      </w:r>
      <w:r w:rsidRPr="00D04E50">
        <w:t>The reduction ratio shall be that required to operate the pump at its maximum operating speed when the motor is operating at its nominal rated full speed in accordance with the schedule in paragraph 1.01 E.</w:t>
      </w:r>
      <w:r w:rsidR="00E75584">
        <w:t xml:space="preserve"> </w:t>
      </w:r>
      <w:r w:rsidRPr="00D04E50">
        <w:t>VFD-driven units may be operated at up to 85 Hz at the maximum speed.</w:t>
      </w:r>
    </w:p>
    <w:p w14:paraId="0E424039" w14:textId="77777777" w:rsidR="00A95E37" w:rsidRPr="00D04E50" w:rsidRDefault="00A95E37" w:rsidP="00A95E37">
      <w:pPr>
        <w:pStyle w:val="Heading2"/>
        <w:numPr>
          <w:ilvl w:val="1"/>
          <w:numId w:val="1"/>
        </w:numPr>
      </w:pPr>
      <w:r w:rsidRPr="00D04E50">
        <w:t>ACCESSORIES:</w:t>
      </w:r>
    </w:p>
    <w:p w14:paraId="1EA67797" w14:textId="1EC466E3" w:rsidR="00A95E37" w:rsidRPr="00D04E50" w:rsidRDefault="00402803" w:rsidP="00A95E37">
      <w:pPr>
        <w:pStyle w:val="Heading3"/>
        <w:numPr>
          <w:ilvl w:val="2"/>
          <w:numId w:val="1"/>
        </w:numPr>
        <w:ind w:left="1440"/>
      </w:pPr>
      <w:r w:rsidRPr="00402803">
        <w:rPr>
          <w:b/>
          <w:bCs/>
        </w:rPr>
        <w:t>Run Dry Protection:</w:t>
      </w:r>
      <w:r w:rsidRPr="00D04E50">
        <w:t xml:space="preserve"> </w:t>
      </w:r>
      <w:r w:rsidR="00A95E37" w:rsidRPr="00D04E50">
        <w:t>The stator shall be fitted with a sensor sleeve and thermistor sensor.</w:t>
      </w:r>
      <w:r w:rsidR="00E75584">
        <w:t xml:space="preserve"> </w:t>
      </w:r>
      <w:r w:rsidR="00A95E37" w:rsidRPr="00D04E50">
        <w:t>A controller shall also be provided and shall be installed by the contractor in the motor control center.</w:t>
      </w:r>
      <w:r w:rsidR="00E75584">
        <w:t xml:space="preserve"> </w:t>
      </w:r>
      <w:r w:rsidR="00A95E37" w:rsidRPr="00D04E50">
        <w:t xml:space="preserve">The controller shall monitor the stator temperature and activate a shutdown and alarm sequence if the stator temperature reaches the </w:t>
      </w:r>
      <w:r w:rsidR="00A95E37" w:rsidRPr="00D04E50">
        <w:lastRenderedPageBreak/>
        <w:t>adjustable limit on the controller.</w:t>
      </w:r>
      <w:r w:rsidR="00E75584">
        <w:t xml:space="preserve"> </w:t>
      </w:r>
      <w:r w:rsidR="00A95E37" w:rsidRPr="00D04E50">
        <w:t>The controller shall include a manual local and remote reset function.</w:t>
      </w:r>
      <w:r w:rsidR="00E75584">
        <w:t xml:space="preserve"> </w:t>
      </w:r>
      <w:r w:rsidR="00A95E37" w:rsidRPr="00D04E50">
        <w:t>Input to the controller shall be 1x115VAC/60 Hz.</w:t>
      </w:r>
    </w:p>
    <w:p w14:paraId="7346AE20" w14:textId="77777777" w:rsidR="00A95E37" w:rsidRPr="00D04E50" w:rsidRDefault="00A95E37" w:rsidP="00A95E37">
      <w:pPr>
        <w:pStyle w:val="Heading2"/>
        <w:numPr>
          <w:ilvl w:val="1"/>
          <w:numId w:val="1"/>
        </w:numPr>
      </w:pPr>
      <w:r w:rsidRPr="00D04E50">
        <w:t>STANDBY COMPONENTS</w:t>
      </w:r>
    </w:p>
    <w:p w14:paraId="7992EC65" w14:textId="67EE0E06" w:rsidR="00A95E37" w:rsidRPr="00D04E50" w:rsidRDefault="00A95E37" w:rsidP="00A95E37">
      <w:pPr>
        <w:pStyle w:val="Heading3"/>
        <w:numPr>
          <w:ilvl w:val="2"/>
          <w:numId w:val="1"/>
        </w:numPr>
        <w:ind w:left="1440"/>
      </w:pPr>
      <w:r w:rsidRPr="00D04E50">
        <w:t>One set of special tools shall be provided to service the pumps.</w:t>
      </w:r>
      <w:r w:rsidR="00E75584">
        <w:t xml:space="preserve"> </w:t>
      </w:r>
    </w:p>
    <w:p w14:paraId="1483D8C1" w14:textId="77777777" w:rsidR="00A95E37" w:rsidRPr="00D04E50" w:rsidRDefault="00A95E37" w:rsidP="00A95E37">
      <w:pPr>
        <w:pStyle w:val="Heading1"/>
        <w:numPr>
          <w:ilvl w:val="0"/>
          <w:numId w:val="1"/>
        </w:numPr>
      </w:pPr>
      <w:r w:rsidRPr="00D04E50">
        <w:t>eXECUTION</w:t>
      </w:r>
    </w:p>
    <w:p w14:paraId="211F138C" w14:textId="77777777" w:rsidR="00A95E37" w:rsidRPr="00D04E50" w:rsidRDefault="00A95E37" w:rsidP="00A95E37">
      <w:pPr>
        <w:pStyle w:val="Heading2"/>
        <w:numPr>
          <w:ilvl w:val="1"/>
          <w:numId w:val="1"/>
        </w:numPr>
      </w:pPr>
      <w:r w:rsidRPr="00D04E50">
        <w:t>INSTALLATION</w:t>
      </w:r>
    </w:p>
    <w:p w14:paraId="403D9483" w14:textId="4829D433" w:rsidR="00A95E37" w:rsidRPr="00D04E50" w:rsidRDefault="00A95E37" w:rsidP="00A95E37">
      <w:pPr>
        <w:pStyle w:val="Heading3"/>
        <w:numPr>
          <w:ilvl w:val="2"/>
          <w:numId w:val="1"/>
        </w:numPr>
        <w:ind w:left="1440"/>
      </w:pPr>
      <w:r w:rsidRPr="00D04E50">
        <w:t>The pumps shall be installed as specified and in accordance with manufacturer's written recommendations.</w:t>
      </w:r>
      <w:r w:rsidR="00E75584">
        <w:t xml:space="preserve"> </w:t>
      </w:r>
      <w:r w:rsidRPr="00D04E50">
        <w:t>The installation and initial operation of all components shall be certified by an authorized representative of the pump manufacturer.</w:t>
      </w:r>
    </w:p>
    <w:p w14:paraId="15773757" w14:textId="77777777" w:rsidR="00A95E37" w:rsidRPr="00D04E50" w:rsidRDefault="00A95E37" w:rsidP="00A95E37">
      <w:pPr>
        <w:pStyle w:val="Heading2"/>
        <w:numPr>
          <w:ilvl w:val="1"/>
          <w:numId w:val="1"/>
        </w:numPr>
      </w:pPr>
      <w:r w:rsidRPr="00D04E50">
        <w:t>TESTING</w:t>
      </w:r>
    </w:p>
    <w:p w14:paraId="1992BE9A" w14:textId="77777777" w:rsidR="00A95E37" w:rsidRPr="00D04E50" w:rsidRDefault="00A95E37" w:rsidP="00A95E37">
      <w:pPr>
        <w:pStyle w:val="Heading3"/>
        <w:numPr>
          <w:ilvl w:val="2"/>
          <w:numId w:val="1"/>
        </w:numPr>
        <w:ind w:left="1440"/>
      </w:pPr>
      <w:r w:rsidRPr="00D04E50">
        <w:t>After completion of installation, the pumps shall be completely tested to demonstrate compliance with operating requirements as specified.</w:t>
      </w:r>
    </w:p>
    <w:p w14:paraId="768792D9" w14:textId="7C6212F2" w:rsidR="00A95E37" w:rsidRDefault="00A95E37" w:rsidP="00A95E37">
      <w:pPr>
        <w:pStyle w:val="Title"/>
      </w:pPr>
      <w:r>
        <w:t>e</w:t>
      </w:r>
      <w:r w:rsidRPr="00D04E50">
        <w:t>nd of section</w:t>
      </w:r>
    </w:p>
    <w:sectPr w:rsidR="00A95E37" w:rsidSect="00F84CAA">
      <w:headerReference w:type="default" r:id="rId11"/>
      <w:footerReference w:type="default" r:id="rId12"/>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E3CBC" w14:textId="77777777" w:rsidR="000C28EB" w:rsidRDefault="000C28EB">
      <w:r>
        <w:separator/>
      </w:r>
    </w:p>
    <w:p w14:paraId="1B1CC3FA" w14:textId="77777777" w:rsidR="000C28EB" w:rsidRDefault="000C28EB"/>
  </w:endnote>
  <w:endnote w:type="continuationSeparator" w:id="0">
    <w:p w14:paraId="73BA3404" w14:textId="77777777" w:rsidR="000C28EB" w:rsidRDefault="000C28EB">
      <w:r>
        <w:continuationSeparator/>
      </w:r>
    </w:p>
    <w:p w14:paraId="496A77F6" w14:textId="77777777" w:rsidR="000C28EB" w:rsidRDefault="000C28EB"/>
  </w:endnote>
  <w:endnote w:type="continuationNotice" w:id="1">
    <w:p w14:paraId="64A9ADF5" w14:textId="77777777" w:rsidR="000C28EB" w:rsidRDefault="000C28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F67C8" w14:textId="3226B639" w:rsidR="001B22EE" w:rsidRDefault="001B22EE" w:rsidP="00034CF2">
    <w:pPr>
      <w:tabs>
        <w:tab w:val="center" w:pos="4680"/>
        <w:tab w:val="right" w:pos="9350"/>
      </w:tabs>
      <w:spacing w:before="240"/>
      <w:contextualSpacing/>
      <w:rPr>
        <w:sz w:val="20"/>
      </w:rPr>
    </w:pPr>
    <w:r>
      <w:rPr>
        <w:sz w:val="20"/>
      </w:rPr>
      <w:t>SUPPLEMENTAL STANDARDS</w:t>
    </w:r>
    <w:r>
      <w:rPr>
        <w:sz w:val="20"/>
      </w:rPr>
      <w:tab/>
    </w:r>
    <w:r>
      <w:rPr>
        <w:sz w:val="20"/>
      </w:rPr>
      <w:tab/>
    </w:r>
    <w:r w:rsidR="008469AC">
      <w:rPr>
        <w:sz w:val="20"/>
      </w:rPr>
      <w:t>PROGRESSIVE CAVITY PUMPS</w:t>
    </w:r>
  </w:p>
  <w:p w14:paraId="14AF67C9" w14:textId="440402C8" w:rsidR="001B22EE" w:rsidRDefault="00BF3DD7" w:rsidP="00034CF2">
    <w:pPr>
      <w:tabs>
        <w:tab w:val="center" w:pos="4680"/>
        <w:tab w:val="right" w:pos="9350"/>
      </w:tabs>
      <w:spacing w:before="240"/>
      <w:contextualSpacing/>
      <w:rPr>
        <w:sz w:val="20"/>
      </w:rPr>
    </w:pPr>
    <w:r>
      <w:rPr>
        <w:sz w:val="20"/>
      </w:rPr>
      <w:t>EVMWD 2023</w:t>
    </w:r>
    <w:r w:rsidR="001B22EE">
      <w:rPr>
        <w:sz w:val="20"/>
      </w:rPr>
      <w:tab/>
    </w:r>
    <w:r w:rsidR="001B22EE">
      <w:rPr>
        <w:sz w:val="20"/>
      </w:rPr>
      <w:tab/>
    </w:r>
    <w:r w:rsidR="001B22EE" w:rsidRPr="001B2FC3">
      <w:rPr>
        <w:sz w:val="20"/>
      </w:rPr>
      <w:t>1</w:t>
    </w:r>
    <w:r w:rsidR="008469AC">
      <w:rPr>
        <w:sz w:val="20"/>
      </w:rPr>
      <w:t>1325</w:t>
    </w:r>
    <w:r w:rsidR="001B22EE" w:rsidRPr="001B2FC3">
      <w:rPr>
        <w:sz w:val="20"/>
      </w:rPr>
      <w:t xml:space="preserve"> </w:t>
    </w:r>
    <w:r w:rsidR="001B22EE">
      <w:rPr>
        <w:sz w:val="20"/>
      </w:rPr>
      <w:t xml:space="preserve">- </w:t>
    </w:r>
    <w:r w:rsidR="00BA3A0A" w:rsidRPr="00034CF2">
      <w:rPr>
        <w:sz w:val="20"/>
      </w:rPr>
      <w:fldChar w:fldCharType="begin"/>
    </w:r>
    <w:r w:rsidR="001B22EE" w:rsidRPr="00034CF2">
      <w:rPr>
        <w:sz w:val="20"/>
      </w:rPr>
      <w:instrText xml:space="preserve"> PAGE   \* MERGEFORMAT </w:instrText>
    </w:r>
    <w:r w:rsidR="00BA3A0A" w:rsidRPr="00034CF2">
      <w:rPr>
        <w:sz w:val="20"/>
      </w:rPr>
      <w:fldChar w:fldCharType="separate"/>
    </w:r>
    <w:r w:rsidR="006C18D5">
      <w:rPr>
        <w:noProof/>
        <w:sz w:val="20"/>
      </w:rPr>
      <w:t>1</w:t>
    </w:r>
    <w:r w:rsidR="00BA3A0A"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1931C" w14:textId="77777777" w:rsidR="000C28EB" w:rsidRDefault="000C28EB">
      <w:r>
        <w:separator/>
      </w:r>
    </w:p>
    <w:p w14:paraId="25557EA0" w14:textId="77777777" w:rsidR="000C28EB" w:rsidRDefault="000C28EB"/>
  </w:footnote>
  <w:footnote w:type="continuationSeparator" w:id="0">
    <w:p w14:paraId="5EB42E48" w14:textId="77777777" w:rsidR="000C28EB" w:rsidRDefault="000C28EB">
      <w:r>
        <w:continuationSeparator/>
      </w:r>
    </w:p>
    <w:p w14:paraId="41606216" w14:textId="77777777" w:rsidR="000C28EB" w:rsidRDefault="000C28EB"/>
  </w:footnote>
  <w:footnote w:type="continuationNotice" w:id="1">
    <w:p w14:paraId="72E22547" w14:textId="77777777" w:rsidR="000C28EB" w:rsidRDefault="000C28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F67C6" w14:textId="297CC1E2" w:rsidR="00334C52" w:rsidRDefault="00334C52" w:rsidP="006C18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DE32C354"/>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35430961"/>
    <w:multiLevelType w:val="multilevel"/>
    <w:tmpl w:val="F34C2F00"/>
    <w:lvl w:ilvl="0">
      <w:start w:val="1"/>
      <w:numFmt w:val="decimal"/>
      <w:pStyle w:val="SPECPART"/>
      <w:suff w:val="space"/>
      <w:lvlText w:val="PART %1 - "/>
      <w:lvlJc w:val="left"/>
      <w:pPr>
        <w:ind w:left="0" w:firstLine="0"/>
      </w:pPr>
      <w:rPr>
        <w:rFonts w:cs="Times New Roman" w:hint="default"/>
        <w:b/>
        <w:bCs w:val="0"/>
        <w:i w:val="0"/>
        <w:iCs w:val="0"/>
        <w:caps w:val="0"/>
        <w:strike w:val="0"/>
        <w:dstrike w:val="0"/>
        <w:vanish w:val="0"/>
        <w:color w:val="000000"/>
        <w:spacing w:val="0"/>
        <w:kern w:val="0"/>
        <w:position w:val="0"/>
        <w:szCs w:val="3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pStyle w:val="Spec101"/>
      <w:lvlText w:val="%1.%2"/>
      <w:lvlJc w:val="left"/>
      <w:pPr>
        <w:tabs>
          <w:tab w:val="num" w:pos="720"/>
        </w:tabs>
        <w:ind w:left="720" w:hanging="720"/>
      </w:pPr>
      <w:rPr>
        <w:rFonts w:cs="Times New Roman" w:hint="default"/>
        <w:caps w:val="0"/>
        <w:szCs w:val="24"/>
      </w:rPr>
    </w:lvl>
    <w:lvl w:ilvl="2">
      <w:start w:val="1"/>
      <w:numFmt w:val="upperLetter"/>
      <w:pStyle w:val="SpecA"/>
      <w:lvlText w:val="%3."/>
      <w:lvlJc w:val="left"/>
      <w:pPr>
        <w:tabs>
          <w:tab w:val="num" w:pos="720"/>
        </w:tabs>
        <w:ind w:left="720" w:hanging="720"/>
      </w:pPr>
      <w:rPr>
        <w:rFonts w:ascii="Times New Roman" w:hAnsi="Times New Roman" w:cs="Times New Roman" w:hint="default"/>
        <w:b w:val="0"/>
        <w:bCs w:val="0"/>
        <w:i w:val="0"/>
        <w:iCs w:val="0"/>
        <w:caps w:val="0"/>
        <w:strike w:val="0"/>
        <w:dstrike w:val="0"/>
        <w:vanish w:val="0"/>
        <w:color w:val="000000"/>
        <w:spacing w:val="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pec1Before12pt"/>
      <w:lvlText w:val="%4."/>
      <w:lvlJc w:val="left"/>
      <w:pPr>
        <w:tabs>
          <w:tab w:val="num" w:pos="1440"/>
        </w:tabs>
        <w:ind w:left="1440" w:hanging="720"/>
      </w:pPr>
      <w:rPr>
        <w:rFonts w:ascii="Times New Roman" w:hAnsi="Times New Roman" w:cs="Times New Roman" w:hint="default"/>
        <w:b w:val="0"/>
        <w:i w:val="0"/>
        <w:sz w:val="22"/>
      </w:rPr>
    </w:lvl>
    <w:lvl w:ilvl="4">
      <w:start w:val="1"/>
      <w:numFmt w:val="lowerLetter"/>
      <w:lvlText w:val="%5"/>
      <w:lvlJc w:val="left"/>
      <w:pPr>
        <w:tabs>
          <w:tab w:val="num" w:pos="2160"/>
        </w:tabs>
        <w:ind w:left="2160" w:hanging="720"/>
      </w:pPr>
      <w:rPr>
        <w:rFonts w:cs="Times New Roman" w:hint="default"/>
      </w:rPr>
    </w:lvl>
    <w:lvl w:ilvl="5">
      <w:start w:val="1"/>
      <w:numFmt w:val="decimal"/>
      <w:lvlText w:val="(%6)"/>
      <w:lvlJc w:val="left"/>
      <w:pPr>
        <w:tabs>
          <w:tab w:val="num" w:pos="2880"/>
        </w:tabs>
        <w:ind w:left="2880" w:hanging="720"/>
      </w:pPr>
      <w:rPr>
        <w:rFonts w:cs="Times New Roman" w:hint="default"/>
      </w:rPr>
    </w:lvl>
    <w:lvl w:ilvl="6">
      <w:start w:val="1"/>
      <w:numFmt w:val="lowerLetter"/>
      <w:lvlText w:val="(%7)"/>
      <w:lvlJc w:val="left"/>
      <w:pPr>
        <w:tabs>
          <w:tab w:val="num" w:pos="3600"/>
        </w:tabs>
        <w:ind w:left="3600" w:hanging="720"/>
      </w:pPr>
      <w:rPr>
        <w:rFonts w:cs="Times New Roman" w:hint="default"/>
      </w:rPr>
    </w:lvl>
    <w:lvl w:ilvl="7">
      <w:start w:val="1"/>
      <w:numFmt w:val="decimal"/>
      <w:lvlText w:val="%1.%2.%3.%4.%5.%6.%7.%8"/>
      <w:lvlJc w:val="left"/>
      <w:pPr>
        <w:tabs>
          <w:tab w:val="num" w:pos="6912"/>
        </w:tabs>
        <w:ind w:left="6912" w:hanging="1440"/>
      </w:pPr>
      <w:rPr>
        <w:rFonts w:cs="Times New Roman" w:hint="default"/>
      </w:rPr>
    </w:lvl>
    <w:lvl w:ilvl="8">
      <w:start w:val="1"/>
      <w:numFmt w:val="decimal"/>
      <w:lvlText w:val="%1.%2.%3.%4.%5.%6.%7.%8.%9"/>
      <w:lvlJc w:val="left"/>
      <w:pPr>
        <w:tabs>
          <w:tab w:val="num" w:pos="7992"/>
        </w:tabs>
        <w:ind w:left="7992" w:hanging="1800"/>
      </w:pPr>
      <w:rPr>
        <w:rFonts w:cs="Times New Roman" w:hint="default"/>
      </w:rPr>
    </w:lvl>
  </w:abstractNum>
  <w:abstractNum w:abstractNumId="2"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3"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4" w15:restartNumberingAfterBreak="0">
    <w:nsid w:val="7E6650E4"/>
    <w:multiLevelType w:val="hybridMultilevel"/>
    <w:tmpl w:val="B3D0C604"/>
    <w:lvl w:ilvl="0" w:tplc="F5D6B280">
      <w:start w:val="1"/>
      <w:numFmt w:val="decimal"/>
      <w:lvlText w:val="%1."/>
      <w:lvlJc w:val="righ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16cid:durableId="2001421620">
    <w:abstractNumId w:val="0"/>
  </w:num>
  <w:num w:numId="2" w16cid:durableId="119501166">
    <w:abstractNumId w:val="0"/>
  </w:num>
  <w:num w:numId="3" w16cid:durableId="1904368623">
    <w:abstractNumId w:val="2"/>
  </w:num>
  <w:num w:numId="4" w16cid:durableId="958220971">
    <w:abstractNumId w:val="3"/>
  </w:num>
  <w:num w:numId="5" w16cid:durableId="1623144699">
    <w:abstractNumId w:val="4"/>
  </w:num>
  <w:num w:numId="6" w16cid:durableId="88702880">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5DF3"/>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3740"/>
    <w:rsid w:val="0008522C"/>
    <w:rsid w:val="000854E7"/>
    <w:rsid w:val="00085EAC"/>
    <w:rsid w:val="00085EF9"/>
    <w:rsid w:val="000A1367"/>
    <w:rsid w:val="000A4A93"/>
    <w:rsid w:val="000B6DB1"/>
    <w:rsid w:val="000C009F"/>
    <w:rsid w:val="000C28EB"/>
    <w:rsid w:val="000C6704"/>
    <w:rsid w:val="000C738D"/>
    <w:rsid w:val="000D6937"/>
    <w:rsid w:val="000D77AF"/>
    <w:rsid w:val="000D7D33"/>
    <w:rsid w:val="000E47CC"/>
    <w:rsid w:val="00101F5E"/>
    <w:rsid w:val="001021C4"/>
    <w:rsid w:val="00103D29"/>
    <w:rsid w:val="001121D6"/>
    <w:rsid w:val="0011320A"/>
    <w:rsid w:val="001163A4"/>
    <w:rsid w:val="00120C06"/>
    <w:rsid w:val="00120ED7"/>
    <w:rsid w:val="001233A0"/>
    <w:rsid w:val="0012508E"/>
    <w:rsid w:val="00130EE5"/>
    <w:rsid w:val="001334E6"/>
    <w:rsid w:val="00136B00"/>
    <w:rsid w:val="00136F09"/>
    <w:rsid w:val="00140AF9"/>
    <w:rsid w:val="0014355E"/>
    <w:rsid w:val="00146822"/>
    <w:rsid w:val="00152500"/>
    <w:rsid w:val="00153065"/>
    <w:rsid w:val="0017455D"/>
    <w:rsid w:val="00176B0F"/>
    <w:rsid w:val="00180D25"/>
    <w:rsid w:val="00181B69"/>
    <w:rsid w:val="001827BF"/>
    <w:rsid w:val="001866AC"/>
    <w:rsid w:val="00186A82"/>
    <w:rsid w:val="00190292"/>
    <w:rsid w:val="00195241"/>
    <w:rsid w:val="001A1796"/>
    <w:rsid w:val="001B0CEF"/>
    <w:rsid w:val="001B22EE"/>
    <w:rsid w:val="001B2FC3"/>
    <w:rsid w:val="001B6920"/>
    <w:rsid w:val="001B6CB0"/>
    <w:rsid w:val="001C276A"/>
    <w:rsid w:val="001C3D8B"/>
    <w:rsid w:val="001D3E15"/>
    <w:rsid w:val="001E36DE"/>
    <w:rsid w:val="001E7E98"/>
    <w:rsid w:val="001F4034"/>
    <w:rsid w:val="00213F95"/>
    <w:rsid w:val="00217710"/>
    <w:rsid w:val="0023129A"/>
    <w:rsid w:val="00233DDA"/>
    <w:rsid w:val="00243A1D"/>
    <w:rsid w:val="002474E7"/>
    <w:rsid w:val="00254C98"/>
    <w:rsid w:val="00255108"/>
    <w:rsid w:val="0025627D"/>
    <w:rsid w:val="002618A4"/>
    <w:rsid w:val="0026434B"/>
    <w:rsid w:val="00266146"/>
    <w:rsid w:val="00266CAE"/>
    <w:rsid w:val="0026700B"/>
    <w:rsid w:val="002729D3"/>
    <w:rsid w:val="00272D1B"/>
    <w:rsid w:val="00281C1F"/>
    <w:rsid w:val="00283F71"/>
    <w:rsid w:val="00293881"/>
    <w:rsid w:val="002A2791"/>
    <w:rsid w:val="002A6DD8"/>
    <w:rsid w:val="002B62A8"/>
    <w:rsid w:val="002B6E40"/>
    <w:rsid w:val="002B6ED6"/>
    <w:rsid w:val="002B7B13"/>
    <w:rsid w:val="002D173F"/>
    <w:rsid w:val="002D1EB7"/>
    <w:rsid w:val="002D3CF8"/>
    <w:rsid w:val="002D5B57"/>
    <w:rsid w:val="002E2A84"/>
    <w:rsid w:val="002F1362"/>
    <w:rsid w:val="002F25D2"/>
    <w:rsid w:val="002F4E3C"/>
    <w:rsid w:val="002F5B70"/>
    <w:rsid w:val="002F5DEC"/>
    <w:rsid w:val="00304455"/>
    <w:rsid w:val="00307E37"/>
    <w:rsid w:val="00311D7F"/>
    <w:rsid w:val="00313BC5"/>
    <w:rsid w:val="00324108"/>
    <w:rsid w:val="00330AA8"/>
    <w:rsid w:val="00334C52"/>
    <w:rsid w:val="003410D1"/>
    <w:rsid w:val="0034507A"/>
    <w:rsid w:val="0035007E"/>
    <w:rsid w:val="003600B4"/>
    <w:rsid w:val="0036019F"/>
    <w:rsid w:val="0036497F"/>
    <w:rsid w:val="0036753B"/>
    <w:rsid w:val="00375CDC"/>
    <w:rsid w:val="0038023C"/>
    <w:rsid w:val="00382F3D"/>
    <w:rsid w:val="00397D11"/>
    <w:rsid w:val="00397D92"/>
    <w:rsid w:val="003A0BE5"/>
    <w:rsid w:val="003A29AE"/>
    <w:rsid w:val="003A7B69"/>
    <w:rsid w:val="003B09D3"/>
    <w:rsid w:val="003B3B6E"/>
    <w:rsid w:val="003B4A2C"/>
    <w:rsid w:val="003B795F"/>
    <w:rsid w:val="003C1ADB"/>
    <w:rsid w:val="003C1CE4"/>
    <w:rsid w:val="003C46C4"/>
    <w:rsid w:val="003C61E4"/>
    <w:rsid w:val="003D554E"/>
    <w:rsid w:val="003E002B"/>
    <w:rsid w:val="003E3632"/>
    <w:rsid w:val="003F1945"/>
    <w:rsid w:val="00402803"/>
    <w:rsid w:val="00402E7C"/>
    <w:rsid w:val="0041171F"/>
    <w:rsid w:val="0041450A"/>
    <w:rsid w:val="00416BA5"/>
    <w:rsid w:val="00421FBB"/>
    <w:rsid w:val="0042678A"/>
    <w:rsid w:val="00447132"/>
    <w:rsid w:val="004477A7"/>
    <w:rsid w:val="00451488"/>
    <w:rsid w:val="0046548A"/>
    <w:rsid w:val="00471D94"/>
    <w:rsid w:val="0048080E"/>
    <w:rsid w:val="0048288B"/>
    <w:rsid w:val="00490EC2"/>
    <w:rsid w:val="004911B3"/>
    <w:rsid w:val="004933BB"/>
    <w:rsid w:val="004A3308"/>
    <w:rsid w:val="004A5E38"/>
    <w:rsid w:val="004B01E4"/>
    <w:rsid w:val="004B642A"/>
    <w:rsid w:val="004C0C3B"/>
    <w:rsid w:val="004C0F0C"/>
    <w:rsid w:val="004D0948"/>
    <w:rsid w:val="004D2963"/>
    <w:rsid w:val="004D5623"/>
    <w:rsid w:val="004E6B27"/>
    <w:rsid w:val="004F3F31"/>
    <w:rsid w:val="00507E86"/>
    <w:rsid w:val="00515CB0"/>
    <w:rsid w:val="0052446D"/>
    <w:rsid w:val="00524E8E"/>
    <w:rsid w:val="005276CA"/>
    <w:rsid w:val="00531326"/>
    <w:rsid w:val="00531CE9"/>
    <w:rsid w:val="00536620"/>
    <w:rsid w:val="00541063"/>
    <w:rsid w:val="005437D4"/>
    <w:rsid w:val="0054448B"/>
    <w:rsid w:val="00545675"/>
    <w:rsid w:val="00546ADE"/>
    <w:rsid w:val="005478A1"/>
    <w:rsid w:val="00553120"/>
    <w:rsid w:val="005612F3"/>
    <w:rsid w:val="00563686"/>
    <w:rsid w:val="00566649"/>
    <w:rsid w:val="00572EEA"/>
    <w:rsid w:val="00573F05"/>
    <w:rsid w:val="0057622B"/>
    <w:rsid w:val="00591A2C"/>
    <w:rsid w:val="005972E4"/>
    <w:rsid w:val="005A0FA6"/>
    <w:rsid w:val="005A48AD"/>
    <w:rsid w:val="005A7F48"/>
    <w:rsid w:val="005C0A07"/>
    <w:rsid w:val="005C267F"/>
    <w:rsid w:val="005C33B5"/>
    <w:rsid w:val="005C672F"/>
    <w:rsid w:val="005C6CD3"/>
    <w:rsid w:val="005D47E4"/>
    <w:rsid w:val="005E3F46"/>
    <w:rsid w:val="005E53D1"/>
    <w:rsid w:val="005E53DE"/>
    <w:rsid w:val="005E7AC7"/>
    <w:rsid w:val="005F7A04"/>
    <w:rsid w:val="0060188A"/>
    <w:rsid w:val="006053E5"/>
    <w:rsid w:val="00605AB8"/>
    <w:rsid w:val="00620A7B"/>
    <w:rsid w:val="006211BB"/>
    <w:rsid w:val="00625DF6"/>
    <w:rsid w:val="00626E16"/>
    <w:rsid w:val="00633F2A"/>
    <w:rsid w:val="00641D4D"/>
    <w:rsid w:val="006436BC"/>
    <w:rsid w:val="006518BB"/>
    <w:rsid w:val="00665F5F"/>
    <w:rsid w:val="0066693F"/>
    <w:rsid w:val="006725C7"/>
    <w:rsid w:val="006809B1"/>
    <w:rsid w:val="006866BE"/>
    <w:rsid w:val="0069091F"/>
    <w:rsid w:val="006944D1"/>
    <w:rsid w:val="006A1C5A"/>
    <w:rsid w:val="006A7F42"/>
    <w:rsid w:val="006B24E0"/>
    <w:rsid w:val="006B382F"/>
    <w:rsid w:val="006C1306"/>
    <w:rsid w:val="006C18D5"/>
    <w:rsid w:val="006C4B1A"/>
    <w:rsid w:val="006D3883"/>
    <w:rsid w:val="006D63B4"/>
    <w:rsid w:val="006E08E5"/>
    <w:rsid w:val="006E3D29"/>
    <w:rsid w:val="006E3D92"/>
    <w:rsid w:val="006E6433"/>
    <w:rsid w:val="006F4D13"/>
    <w:rsid w:val="00700B8C"/>
    <w:rsid w:val="007021DF"/>
    <w:rsid w:val="0070257F"/>
    <w:rsid w:val="00711D2A"/>
    <w:rsid w:val="007247F6"/>
    <w:rsid w:val="00725697"/>
    <w:rsid w:val="00727E01"/>
    <w:rsid w:val="00731092"/>
    <w:rsid w:val="007470C6"/>
    <w:rsid w:val="00755559"/>
    <w:rsid w:val="00761E8E"/>
    <w:rsid w:val="007649C7"/>
    <w:rsid w:val="00770928"/>
    <w:rsid w:val="00777EE1"/>
    <w:rsid w:val="00786EEB"/>
    <w:rsid w:val="007936AD"/>
    <w:rsid w:val="007C2FA1"/>
    <w:rsid w:val="007C66D8"/>
    <w:rsid w:val="007D00DD"/>
    <w:rsid w:val="007D1292"/>
    <w:rsid w:val="007D6BB2"/>
    <w:rsid w:val="007E18B0"/>
    <w:rsid w:val="007E2C57"/>
    <w:rsid w:val="007E77A9"/>
    <w:rsid w:val="007F0A1A"/>
    <w:rsid w:val="007F1B1F"/>
    <w:rsid w:val="007F2B4C"/>
    <w:rsid w:val="007F5F86"/>
    <w:rsid w:val="007F62AE"/>
    <w:rsid w:val="00800E91"/>
    <w:rsid w:val="00806B5B"/>
    <w:rsid w:val="008154D5"/>
    <w:rsid w:val="00821A8D"/>
    <w:rsid w:val="00835A4D"/>
    <w:rsid w:val="00837486"/>
    <w:rsid w:val="0084012C"/>
    <w:rsid w:val="00845294"/>
    <w:rsid w:val="008469AC"/>
    <w:rsid w:val="008524AE"/>
    <w:rsid w:val="0085722A"/>
    <w:rsid w:val="00857B4A"/>
    <w:rsid w:val="00867535"/>
    <w:rsid w:val="00871131"/>
    <w:rsid w:val="008754BC"/>
    <w:rsid w:val="00875E20"/>
    <w:rsid w:val="00881E58"/>
    <w:rsid w:val="0088530D"/>
    <w:rsid w:val="00885E65"/>
    <w:rsid w:val="00891D00"/>
    <w:rsid w:val="00893662"/>
    <w:rsid w:val="00894703"/>
    <w:rsid w:val="00897508"/>
    <w:rsid w:val="008A257C"/>
    <w:rsid w:val="008A4AB6"/>
    <w:rsid w:val="008B1EAA"/>
    <w:rsid w:val="008B62F9"/>
    <w:rsid w:val="008C210B"/>
    <w:rsid w:val="008C5F59"/>
    <w:rsid w:val="008D1C87"/>
    <w:rsid w:val="008D27F3"/>
    <w:rsid w:val="008D282A"/>
    <w:rsid w:val="008D6B71"/>
    <w:rsid w:val="008E68A7"/>
    <w:rsid w:val="008F0A78"/>
    <w:rsid w:val="008F393C"/>
    <w:rsid w:val="00911013"/>
    <w:rsid w:val="00911BC4"/>
    <w:rsid w:val="00917DCE"/>
    <w:rsid w:val="00921EAB"/>
    <w:rsid w:val="00922936"/>
    <w:rsid w:val="00926CFD"/>
    <w:rsid w:val="0093646B"/>
    <w:rsid w:val="0094214D"/>
    <w:rsid w:val="00944A58"/>
    <w:rsid w:val="00953AEC"/>
    <w:rsid w:val="00957089"/>
    <w:rsid w:val="0097343A"/>
    <w:rsid w:val="00974442"/>
    <w:rsid w:val="0097712F"/>
    <w:rsid w:val="00980FBD"/>
    <w:rsid w:val="00983179"/>
    <w:rsid w:val="00984A8F"/>
    <w:rsid w:val="009920A3"/>
    <w:rsid w:val="009A425B"/>
    <w:rsid w:val="009A5D97"/>
    <w:rsid w:val="009A746E"/>
    <w:rsid w:val="009B0662"/>
    <w:rsid w:val="009B0982"/>
    <w:rsid w:val="009B1193"/>
    <w:rsid w:val="009B1AF7"/>
    <w:rsid w:val="009B30EA"/>
    <w:rsid w:val="009D37BA"/>
    <w:rsid w:val="009D4D6E"/>
    <w:rsid w:val="009F12BD"/>
    <w:rsid w:val="009F5B6E"/>
    <w:rsid w:val="009F62F9"/>
    <w:rsid w:val="00A00FA5"/>
    <w:rsid w:val="00A015BA"/>
    <w:rsid w:val="00A10ADD"/>
    <w:rsid w:val="00A11B7B"/>
    <w:rsid w:val="00A23A23"/>
    <w:rsid w:val="00A27D56"/>
    <w:rsid w:val="00A33090"/>
    <w:rsid w:val="00A36888"/>
    <w:rsid w:val="00A37B43"/>
    <w:rsid w:val="00A42A14"/>
    <w:rsid w:val="00A539A2"/>
    <w:rsid w:val="00A5534E"/>
    <w:rsid w:val="00A55CC0"/>
    <w:rsid w:val="00A5710A"/>
    <w:rsid w:val="00A614D1"/>
    <w:rsid w:val="00A65DB4"/>
    <w:rsid w:val="00A72EE0"/>
    <w:rsid w:val="00A77D6C"/>
    <w:rsid w:val="00A806B8"/>
    <w:rsid w:val="00A826A7"/>
    <w:rsid w:val="00A85BD6"/>
    <w:rsid w:val="00A87C7D"/>
    <w:rsid w:val="00A9396B"/>
    <w:rsid w:val="00A95E37"/>
    <w:rsid w:val="00A95FBE"/>
    <w:rsid w:val="00A975ED"/>
    <w:rsid w:val="00AB2832"/>
    <w:rsid w:val="00AC4B1B"/>
    <w:rsid w:val="00AD1EA5"/>
    <w:rsid w:val="00AD61C5"/>
    <w:rsid w:val="00AE3C38"/>
    <w:rsid w:val="00AF2CFF"/>
    <w:rsid w:val="00AF456C"/>
    <w:rsid w:val="00AF56F5"/>
    <w:rsid w:val="00AF60EF"/>
    <w:rsid w:val="00AF6EF9"/>
    <w:rsid w:val="00B02C02"/>
    <w:rsid w:val="00B1670A"/>
    <w:rsid w:val="00B23225"/>
    <w:rsid w:val="00B23800"/>
    <w:rsid w:val="00B27BED"/>
    <w:rsid w:val="00B353C2"/>
    <w:rsid w:val="00B37475"/>
    <w:rsid w:val="00B37B6E"/>
    <w:rsid w:val="00B45CA8"/>
    <w:rsid w:val="00B5110A"/>
    <w:rsid w:val="00B52F68"/>
    <w:rsid w:val="00B62FF9"/>
    <w:rsid w:val="00B63453"/>
    <w:rsid w:val="00B8215B"/>
    <w:rsid w:val="00B86788"/>
    <w:rsid w:val="00BA022E"/>
    <w:rsid w:val="00BA2FD9"/>
    <w:rsid w:val="00BA3A0A"/>
    <w:rsid w:val="00BC1281"/>
    <w:rsid w:val="00BD0CE9"/>
    <w:rsid w:val="00BD440C"/>
    <w:rsid w:val="00BD66B4"/>
    <w:rsid w:val="00BE7385"/>
    <w:rsid w:val="00BF3DD7"/>
    <w:rsid w:val="00BF68DC"/>
    <w:rsid w:val="00C039F7"/>
    <w:rsid w:val="00C106F0"/>
    <w:rsid w:val="00C1190E"/>
    <w:rsid w:val="00C14804"/>
    <w:rsid w:val="00C23C96"/>
    <w:rsid w:val="00C25623"/>
    <w:rsid w:val="00C25CDA"/>
    <w:rsid w:val="00C26600"/>
    <w:rsid w:val="00C325B4"/>
    <w:rsid w:val="00C32FDF"/>
    <w:rsid w:val="00C378C1"/>
    <w:rsid w:val="00C41BB2"/>
    <w:rsid w:val="00C45F56"/>
    <w:rsid w:val="00C53900"/>
    <w:rsid w:val="00C544CC"/>
    <w:rsid w:val="00C61607"/>
    <w:rsid w:val="00C65CBB"/>
    <w:rsid w:val="00C7403D"/>
    <w:rsid w:val="00C870AF"/>
    <w:rsid w:val="00C93CC8"/>
    <w:rsid w:val="00C94B2C"/>
    <w:rsid w:val="00CA3514"/>
    <w:rsid w:val="00CA5911"/>
    <w:rsid w:val="00CA75FE"/>
    <w:rsid w:val="00CB23C8"/>
    <w:rsid w:val="00CB606D"/>
    <w:rsid w:val="00CC7BCD"/>
    <w:rsid w:val="00CC7DAD"/>
    <w:rsid w:val="00CD27A1"/>
    <w:rsid w:val="00CD65DD"/>
    <w:rsid w:val="00CD6629"/>
    <w:rsid w:val="00CD6668"/>
    <w:rsid w:val="00CE675F"/>
    <w:rsid w:val="00CF4DE5"/>
    <w:rsid w:val="00CF7C8A"/>
    <w:rsid w:val="00D15E24"/>
    <w:rsid w:val="00D20034"/>
    <w:rsid w:val="00D226A4"/>
    <w:rsid w:val="00D22D1E"/>
    <w:rsid w:val="00D23129"/>
    <w:rsid w:val="00D2344C"/>
    <w:rsid w:val="00D31260"/>
    <w:rsid w:val="00D331FC"/>
    <w:rsid w:val="00D4213F"/>
    <w:rsid w:val="00D51777"/>
    <w:rsid w:val="00D57AFC"/>
    <w:rsid w:val="00D63015"/>
    <w:rsid w:val="00D63E60"/>
    <w:rsid w:val="00D63F5D"/>
    <w:rsid w:val="00D72863"/>
    <w:rsid w:val="00D828AC"/>
    <w:rsid w:val="00D82D36"/>
    <w:rsid w:val="00D94CC1"/>
    <w:rsid w:val="00D9549A"/>
    <w:rsid w:val="00D95EDF"/>
    <w:rsid w:val="00D9606D"/>
    <w:rsid w:val="00D97A24"/>
    <w:rsid w:val="00DA1C13"/>
    <w:rsid w:val="00DA5F9A"/>
    <w:rsid w:val="00DA6186"/>
    <w:rsid w:val="00DB0614"/>
    <w:rsid w:val="00DB0C10"/>
    <w:rsid w:val="00DB2611"/>
    <w:rsid w:val="00DB3D4C"/>
    <w:rsid w:val="00DB43EF"/>
    <w:rsid w:val="00DB5838"/>
    <w:rsid w:val="00DD4859"/>
    <w:rsid w:val="00DD5441"/>
    <w:rsid w:val="00DD5507"/>
    <w:rsid w:val="00DE0CD2"/>
    <w:rsid w:val="00DE2AD3"/>
    <w:rsid w:val="00DE7B3F"/>
    <w:rsid w:val="00DF30AD"/>
    <w:rsid w:val="00DF3183"/>
    <w:rsid w:val="00DF7D9F"/>
    <w:rsid w:val="00E008D2"/>
    <w:rsid w:val="00E02BE7"/>
    <w:rsid w:val="00E06EFD"/>
    <w:rsid w:val="00E13D83"/>
    <w:rsid w:val="00E1646E"/>
    <w:rsid w:val="00E16DBD"/>
    <w:rsid w:val="00E210B4"/>
    <w:rsid w:val="00E232E4"/>
    <w:rsid w:val="00E24830"/>
    <w:rsid w:val="00E2669E"/>
    <w:rsid w:val="00E40A7F"/>
    <w:rsid w:val="00E4291F"/>
    <w:rsid w:val="00E4594F"/>
    <w:rsid w:val="00E502CA"/>
    <w:rsid w:val="00E543CC"/>
    <w:rsid w:val="00E54A6A"/>
    <w:rsid w:val="00E573BB"/>
    <w:rsid w:val="00E5768C"/>
    <w:rsid w:val="00E67CB8"/>
    <w:rsid w:val="00E70AAB"/>
    <w:rsid w:val="00E7175C"/>
    <w:rsid w:val="00E75584"/>
    <w:rsid w:val="00E80362"/>
    <w:rsid w:val="00EA6EAC"/>
    <w:rsid w:val="00EB4D0E"/>
    <w:rsid w:val="00EB6A20"/>
    <w:rsid w:val="00EC34A8"/>
    <w:rsid w:val="00EC6B4D"/>
    <w:rsid w:val="00ED6C0F"/>
    <w:rsid w:val="00EE3073"/>
    <w:rsid w:val="00F00A57"/>
    <w:rsid w:val="00F02124"/>
    <w:rsid w:val="00F0595F"/>
    <w:rsid w:val="00F059DC"/>
    <w:rsid w:val="00F06CEE"/>
    <w:rsid w:val="00F06DA6"/>
    <w:rsid w:val="00F1069A"/>
    <w:rsid w:val="00F116A5"/>
    <w:rsid w:val="00F12128"/>
    <w:rsid w:val="00F12763"/>
    <w:rsid w:val="00F372FB"/>
    <w:rsid w:val="00F5451F"/>
    <w:rsid w:val="00F60DD3"/>
    <w:rsid w:val="00F63FA8"/>
    <w:rsid w:val="00F64992"/>
    <w:rsid w:val="00F7004E"/>
    <w:rsid w:val="00F707AC"/>
    <w:rsid w:val="00F7309A"/>
    <w:rsid w:val="00F819DF"/>
    <w:rsid w:val="00F839B7"/>
    <w:rsid w:val="00F83A33"/>
    <w:rsid w:val="00F84CAA"/>
    <w:rsid w:val="00F85618"/>
    <w:rsid w:val="00F875A9"/>
    <w:rsid w:val="00FB60EC"/>
    <w:rsid w:val="00FC06A2"/>
    <w:rsid w:val="00FC34AB"/>
    <w:rsid w:val="00FF226C"/>
    <w:rsid w:val="00FF3A5D"/>
    <w:rsid w:val="00FF69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AF6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E67CB8"/>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490EC2"/>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E67CB8"/>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490EC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B8215B"/>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B8215B"/>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 w:type="paragraph" w:customStyle="1" w:styleId="Spec1Before12pt">
    <w:name w:val="Spec 1 + Before:  12 pt"/>
    <w:basedOn w:val="Normal"/>
    <w:rsid w:val="008469AC"/>
    <w:pPr>
      <w:numPr>
        <w:ilvl w:val="3"/>
        <w:numId w:val="6"/>
      </w:numPr>
      <w:spacing w:before="240"/>
    </w:pPr>
    <w:rPr>
      <w:color w:val="000000"/>
      <w:sz w:val="22"/>
    </w:rPr>
  </w:style>
  <w:style w:type="paragraph" w:customStyle="1" w:styleId="Spec101">
    <w:name w:val="Spec 1.01"/>
    <w:basedOn w:val="Normal"/>
    <w:rsid w:val="008469AC"/>
    <w:pPr>
      <w:keepNext/>
      <w:numPr>
        <w:ilvl w:val="1"/>
        <w:numId w:val="6"/>
      </w:numPr>
      <w:spacing w:before="240"/>
    </w:pPr>
    <w:rPr>
      <w:b/>
      <w:caps/>
      <w:color w:val="000000"/>
      <w:sz w:val="22"/>
    </w:rPr>
  </w:style>
  <w:style w:type="paragraph" w:customStyle="1" w:styleId="SpecA">
    <w:name w:val="Spec A"/>
    <w:basedOn w:val="Normal"/>
    <w:rsid w:val="008469AC"/>
    <w:pPr>
      <w:numPr>
        <w:ilvl w:val="2"/>
        <w:numId w:val="6"/>
      </w:numPr>
      <w:spacing w:before="240"/>
    </w:pPr>
    <w:rPr>
      <w:color w:val="000000"/>
      <w:sz w:val="22"/>
    </w:rPr>
  </w:style>
  <w:style w:type="paragraph" w:customStyle="1" w:styleId="SPECPART">
    <w:name w:val="SPEC PART"/>
    <w:basedOn w:val="Normal"/>
    <w:rsid w:val="008469AC"/>
    <w:pPr>
      <w:keepNext/>
      <w:numPr>
        <w:numId w:val="6"/>
      </w:numPr>
      <w:spacing w:before="480"/>
    </w:pPr>
    <w:rPr>
      <w:b/>
      <w:caps/>
      <w:color w:val="000000"/>
      <w:sz w:val="22"/>
    </w:rPr>
  </w:style>
  <w:style w:type="table" w:styleId="TableGrid">
    <w:name w:val="Table Grid"/>
    <w:basedOn w:val="TableNormal"/>
    <w:uiPriority w:val="59"/>
    <w:rsid w:val="008469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352619">
      <w:bodyDiv w:val="1"/>
      <w:marLeft w:val="0"/>
      <w:marRight w:val="0"/>
      <w:marTop w:val="0"/>
      <w:marBottom w:val="0"/>
      <w:divBdr>
        <w:top w:val="none" w:sz="0" w:space="0" w:color="auto"/>
        <w:left w:val="none" w:sz="0" w:space="0" w:color="auto"/>
        <w:bottom w:val="none" w:sz="0" w:space="0" w:color="auto"/>
        <w:right w:val="none" w:sz="0" w:space="0" w:color="auto"/>
      </w:divBdr>
    </w:div>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658000172">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70A3FE-F6EC-4FE3-9E43-1315EFE7A66F}">
  <ds:schemaRefs>
    <ds:schemaRef ds:uri="http://schemas.microsoft.com/office/2006/metadata/properties"/>
    <ds:schemaRef ds:uri="http://schemas.microsoft.com/office/infopath/2007/PartnerControls"/>
    <ds:schemaRef ds:uri="http://schemas.microsoft.com/sharepoint/v3"/>
    <ds:schemaRef ds:uri="9f981571-371a-4cc4-9a57-b0ed5c3d236c"/>
    <ds:schemaRef ds:uri="b7ccdeef-2717-48db-a929-b06b8b1a3c3e"/>
  </ds:schemaRefs>
</ds:datastoreItem>
</file>

<file path=customXml/itemProps2.xml><?xml version="1.0" encoding="utf-8"?>
<ds:datastoreItem xmlns:ds="http://schemas.openxmlformats.org/officeDocument/2006/customXml" ds:itemID="{46807493-8FDC-4E7D-BAF6-A5EB30224001}">
  <ds:schemaRefs>
    <ds:schemaRef ds:uri="http://schemas.microsoft.com/sharepoint/v3/contenttype/forms"/>
  </ds:schemaRefs>
</ds:datastoreItem>
</file>

<file path=customXml/itemProps3.xml><?xml version="1.0" encoding="utf-8"?>
<ds:datastoreItem xmlns:ds="http://schemas.openxmlformats.org/officeDocument/2006/customXml" ds:itemID="{7DF33B75-07E1-4CC0-832F-827810BA82EE}">
  <ds:schemaRefs>
    <ds:schemaRef ds:uri="http://schemas.openxmlformats.org/officeDocument/2006/bibliography"/>
  </ds:schemaRefs>
</ds:datastoreItem>
</file>

<file path=customXml/itemProps4.xml><?xml version="1.0" encoding="utf-8"?>
<ds:datastoreItem xmlns:ds="http://schemas.openxmlformats.org/officeDocument/2006/customXml" ds:itemID="{1DFEC507-0D14-408B-8CF0-82CE8C2F9E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1293</Words>
  <Characters>7376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2022-05-18T16:36:00Z</dcterms:created>
  <dcterms:modified xsi:type="dcterms:W3CDTF">2023-07-03T16:01:00Z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